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A14DD" w14:textId="77777777" w:rsidR="00FD60E2" w:rsidRPr="003400A5" w:rsidRDefault="00FD60E2" w:rsidP="000B02C5">
      <w:pPr>
        <w:numPr>
          <w:ilvl w:val="0"/>
          <w:numId w:val="1"/>
        </w:numPr>
        <w:spacing w:before="100" w:beforeAutospacing="1" w:after="100" w:afterAutospacing="1" w:line="480" w:lineRule="auto"/>
        <w:ind w:left="0"/>
        <w:rPr>
          <w:rFonts w:ascii="Arial" w:hAnsi="Arial" w:cs="Arial"/>
        </w:rPr>
      </w:pPr>
      <w:commentRangeStart w:id="0"/>
      <w:r w:rsidRPr="003400A5">
        <w:rPr>
          <w:rFonts w:ascii="Arial" w:hAnsi="Arial" w:cs="Arial"/>
          <w:b/>
          <w:bCs/>
        </w:rPr>
        <w:t>Author details</w:t>
      </w:r>
      <w:r w:rsidRPr="003400A5">
        <w:rPr>
          <w:rFonts w:ascii="Arial" w:hAnsi="Arial" w:cs="Arial"/>
        </w:rPr>
        <w:t xml:space="preserve">. </w:t>
      </w:r>
      <w:commentRangeEnd w:id="0"/>
      <w:r w:rsidRPr="003400A5">
        <w:rPr>
          <w:rStyle w:val="CommentReference"/>
        </w:rPr>
        <w:commentReference w:id="0"/>
      </w:r>
    </w:p>
    <w:p w14:paraId="46FF383A" w14:textId="77777777" w:rsidR="00FD60E2" w:rsidRPr="003400A5" w:rsidRDefault="00FD60E2" w:rsidP="003400A5">
      <w:pPr>
        <w:pStyle w:val="ListParagraph"/>
        <w:numPr>
          <w:ilvl w:val="0"/>
          <w:numId w:val="3"/>
        </w:numPr>
        <w:spacing w:before="100" w:beforeAutospacing="1" w:after="100" w:afterAutospacing="1" w:line="480" w:lineRule="auto"/>
        <w:rPr>
          <w:rFonts w:ascii="Arial" w:hAnsi="Arial" w:cs="Arial"/>
        </w:rPr>
      </w:pPr>
      <w:r w:rsidRPr="003400A5">
        <w:rPr>
          <w:rFonts w:ascii="Arial" w:hAnsi="Arial" w:cs="Arial"/>
        </w:rPr>
        <w:t>Jonathan William Minton [corresponding author]</w:t>
      </w:r>
    </w:p>
    <w:p w14:paraId="481CF006" w14:textId="77777777" w:rsidR="00FD60E2" w:rsidRPr="003400A5" w:rsidRDefault="00FD60E2" w:rsidP="003400A5">
      <w:pPr>
        <w:pStyle w:val="ListParagraph"/>
        <w:numPr>
          <w:ilvl w:val="0"/>
          <w:numId w:val="3"/>
        </w:numPr>
        <w:spacing w:before="100" w:beforeAutospacing="1" w:after="100" w:afterAutospacing="1" w:line="480" w:lineRule="auto"/>
        <w:rPr>
          <w:rFonts w:ascii="Arial" w:hAnsi="Arial" w:cs="Arial"/>
        </w:rPr>
      </w:pPr>
      <w:proofErr w:type="spellStart"/>
      <w:r w:rsidRPr="003400A5">
        <w:rPr>
          <w:rFonts w:ascii="Arial" w:hAnsi="Arial" w:cs="Arial"/>
        </w:rPr>
        <w:t>Orcid</w:t>
      </w:r>
      <w:proofErr w:type="spellEnd"/>
      <w:r w:rsidRPr="003400A5">
        <w:rPr>
          <w:rFonts w:ascii="Arial" w:hAnsi="Arial" w:cs="Arial"/>
        </w:rPr>
        <w:t xml:space="preserve"> id: 0000-0003-1207-6259</w:t>
      </w:r>
    </w:p>
    <w:p w14:paraId="1930DFB0" w14:textId="77777777" w:rsidR="00FD60E2" w:rsidRPr="003400A5" w:rsidRDefault="00FD60E2" w:rsidP="003400A5">
      <w:pPr>
        <w:pStyle w:val="ListParagraph"/>
        <w:numPr>
          <w:ilvl w:val="0"/>
          <w:numId w:val="3"/>
        </w:numPr>
        <w:spacing w:before="100" w:beforeAutospacing="1" w:after="100" w:afterAutospacing="1" w:line="480" w:lineRule="auto"/>
        <w:rPr>
          <w:rFonts w:ascii="Arial" w:hAnsi="Arial" w:cs="Arial"/>
        </w:rPr>
      </w:pPr>
      <w:r w:rsidRPr="003400A5">
        <w:rPr>
          <w:rFonts w:ascii="Arial" w:hAnsi="Arial" w:cs="Arial"/>
        </w:rPr>
        <w:t>Twitter handle: @</w:t>
      </w:r>
      <w:proofErr w:type="spellStart"/>
      <w:r w:rsidRPr="003400A5">
        <w:rPr>
          <w:rFonts w:ascii="Arial" w:hAnsi="Arial" w:cs="Arial"/>
        </w:rPr>
        <w:t>JonMinton</w:t>
      </w:r>
      <w:proofErr w:type="spellEnd"/>
      <w:r w:rsidRPr="003400A5">
        <w:rPr>
          <w:rFonts w:ascii="Arial" w:hAnsi="Arial" w:cs="Arial"/>
        </w:rPr>
        <w:t xml:space="preserve"> </w:t>
      </w:r>
    </w:p>
    <w:p w14:paraId="03021DAF" w14:textId="77777777" w:rsidR="00FD60E2" w:rsidRPr="003400A5" w:rsidRDefault="00FD60E2" w:rsidP="003400A5">
      <w:pPr>
        <w:pStyle w:val="ListParagraph"/>
        <w:numPr>
          <w:ilvl w:val="0"/>
          <w:numId w:val="3"/>
        </w:numPr>
        <w:spacing w:before="100" w:beforeAutospacing="1" w:after="100" w:afterAutospacing="1" w:line="480" w:lineRule="auto"/>
        <w:rPr>
          <w:rFonts w:ascii="Arial" w:hAnsi="Arial" w:cs="Arial"/>
        </w:rPr>
      </w:pPr>
      <w:r w:rsidRPr="003400A5">
        <w:rPr>
          <w:rFonts w:ascii="Arial" w:hAnsi="Arial" w:cs="Arial"/>
        </w:rPr>
        <w:t xml:space="preserve">Email address: </w:t>
      </w:r>
      <w:hyperlink r:id="rId10" w:history="1">
        <w:r w:rsidRPr="003400A5">
          <w:rPr>
            <w:rStyle w:val="Hyperlink"/>
            <w:rFonts w:ascii="Arial" w:hAnsi="Arial" w:cs="Arial"/>
            <w:color w:val="auto"/>
          </w:rPr>
          <w:t>jonathan.minton@glasgow.ac.uk</w:t>
        </w:r>
      </w:hyperlink>
      <w:r w:rsidRPr="003400A5">
        <w:rPr>
          <w:rFonts w:ascii="Arial" w:hAnsi="Arial" w:cs="Arial"/>
        </w:rPr>
        <w:t xml:space="preserve">; </w:t>
      </w:r>
      <w:hyperlink r:id="rId11" w:history="1">
        <w:r w:rsidRPr="003400A5">
          <w:rPr>
            <w:rStyle w:val="Hyperlink"/>
            <w:rFonts w:ascii="Arial" w:hAnsi="Arial" w:cs="Arial"/>
            <w:color w:val="auto"/>
          </w:rPr>
          <w:t>nate.minton@gmail.com</w:t>
        </w:r>
      </w:hyperlink>
      <w:r w:rsidRPr="003400A5">
        <w:rPr>
          <w:rFonts w:ascii="Arial" w:hAnsi="Arial" w:cs="Arial"/>
        </w:rPr>
        <w:t xml:space="preserve"> </w:t>
      </w:r>
    </w:p>
    <w:p w14:paraId="033985A4" w14:textId="77777777" w:rsidR="00FD60E2" w:rsidRPr="003400A5" w:rsidRDefault="00FD60E2" w:rsidP="003400A5">
      <w:pPr>
        <w:pStyle w:val="ListParagraph"/>
        <w:numPr>
          <w:ilvl w:val="0"/>
          <w:numId w:val="3"/>
        </w:numPr>
        <w:spacing w:before="100" w:beforeAutospacing="1" w:after="100" w:afterAutospacing="1" w:line="480" w:lineRule="auto"/>
        <w:rPr>
          <w:rFonts w:ascii="Arial" w:hAnsi="Arial" w:cs="Arial"/>
        </w:rPr>
      </w:pPr>
      <w:r w:rsidRPr="003400A5">
        <w:rPr>
          <w:rFonts w:ascii="Arial" w:hAnsi="Arial" w:cs="Arial"/>
        </w:rPr>
        <w:t>Telephone: +44 7866 022543</w:t>
      </w:r>
    </w:p>
    <w:p w14:paraId="50C8877F" w14:textId="77777777" w:rsidR="00FD60E2" w:rsidRPr="003400A5" w:rsidRDefault="00FD60E2" w:rsidP="003400A5">
      <w:pPr>
        <w:pStyle w:val="ListParagraph"/>
        <w:numPr>
          <w:ilvl w:val="0"/>
          <w:numId w:val="3"/>
        </w:numPr>
        <w:spacing w:before="100" w:beforeAutospacing="1" w:after="100" w:afterAutospacing="1" w:line="480" w:lineRule="auto"/>
        <w:rPr>
          <w:rFonts w:ascii="Arial" w:hAnsi="Arial" w:cs="Arial"/>
        </w:rPr>
      </w:pPr>
      <w:r w:rsidRPr="003400A5">
        <w:rPr>
          <w:rFonts w:ascii="Arial" w:hAnsi="Arial" w:cs="Arial"/>
        </w:rPr>
        <w:t>Room 110, 25 Bute Gardens, School of Social &amp; Political Sciences, University of Glasgow, Scotland, UK. G12 8RS</w:t>
      </w:r>
    </w:p>
    <w:p w14:paraId="3802F657" w14:textId="77777777" w:rsidR="00FD60E2" w:rsidRPr="003400A5" w:rsidRDefault="00FD60E2" w:rsidP="000B02C5">
      <w:pPr>
        <w:numPr>
          <w:ilvl w:val="0"/>
          <w:numId w:val="1"/>
        </w:numPr>
        <w:spacing w:before="100" w:beforeAutospacing="1" w:after="100" w:afterAutospacing="1" w:line="480" w:lineRule="auto"/>
        <w:ind w:left="0"/>
        <w:rPr>
          <w:rFonts w:ascii="Arial" w:hAnsi="Arial" w:cs="Arial"/>
        </w:rPr>
      </w:pPr>
      <w:commentRangeStart w:id="1"/>
      <w:r w:rsidRPr="003400A5">
        <w:rPr>
          <w:rFonts w:ascii="Arial" w:hAnsi="Arial" w:cs="Arial"/>
          <w:b/>
        </w:rPr>
        <w:t>Abstract.</w:t>
      </w:r>
      <w:r w:rsidRPr="003400A5">
        <w:rPr>
          <w:rFonts w:ascii="Arial" w:hAnsi="Arial" w:cs="Arial"/>
        </w:rPr>
        <w:t xml:space="preserve"> </w:t>
      </w:r>
      <w:commentRangeEnd w:id="1"/>
      <w:r w:rsidRPr="003400A5">
        <w:rPr>
          <w:rStyle w:val="CommentReference"/>
        </w:rPr>
        <w:commentReference w:id="1"/>
      </w:r>
      <w:r w:rsidRPr="003400A5">
        <w:rPr>
          <w:rFonts w:ascii="Arial" w:hAnsi="Arial" w:cs="Arial"/>
        </w:rPr>
        <w:t>[150-200 words]</w:t>
      </w:r>
    </w:p>
    <w:p w14:paraId="64B12652" w14:textId="23E2F48F" w:rsidR="00FD60E2" w:rsidRPr="003400A5" w:rsidRDefault="003575AB" w:rsidP="000B02C5">
      <w:pPr>
        <w:spacing w:before="100" w:beforeAutospacing="1" w:after="100" w:afterAutospacing="1" w:line="480" w:lineRule="auto"/>
        <w:rPr>
          <w:rFonts w:ascii="Arial" w:hAnsi="Arial" w:cs="Arial"/>
        </w:rPr>
      </w:pPr>
      <w:r>
        <w:rPr>
          <w:rFonts w:ascii="Arial" w:hAnsi="Arial" w:cs="Arial"/>
        </w:rPr>
        <w:t xml:space="preserve">This paper argues that an understanding of the human cost of the Troubles in Northern Ireland is vital in the context of Brexit. This human cost is manifest in all-cause mortality </w:t>
      </w:r>
      <w:r w:rsidR="00F15547">
        <w:rPr>
          <w:rFonts w:ascii="Arial" w:hAnsi="Arial" w:cs="Arial"/>
        </w:rPr>
        <w:t xml:space="preserve">records for </w:t>
      </w:r>
      <w:r>
        <w:rPr>
          <w:rFonts w:ascii="Arial" w:hAnsi="Arial" w:cs="Arial"/>
        </w:rPr>
        <w:t xml:space="preserve">the country, which in this paper are explored visually using level plots. A model is developed which formalises a key intuition developed through exploring the data, in which excess deaths in young adult males </w:t>
      </w:r>
      <w:r w:rsidR="00F15547">
        <w:rPr>
          <w:rFonts w:ascii="Arial" w:hAnsi="Arial" w:cs="Arial"/>
        </w:rPr>
        <w:t>are</w:t>
      </w:r>
      <w:r>
        <w:rPr>
          <w:rFonts w:ascii="Arial" w:hAnsi="Arial" w:cs="Arial"/>
        </w:rPr>
        <w:t xml:space="preserve"> represented by a component with a peak intensity in 1972, which then gradually reduces over many years. </w:t>
      </w:r>
      <w:r w:rsidR="00F15547">
        <w:rPr>
          <w:rFonts w:ascii="Arial" w:hAnsi="Arial" w:cs="Arial"/>
        </w:rPr>
        <w:t xml:space="preserve">We call this an initiation-decay model, and based on it estimate the </w:t>
      </w:r>
      <w:r>
        <w:rPr>
          <w:rFonts w:ascii="Arial" w:hAnsi="Arial" w:cs="Arial"/>
        </w:rPr>
        <w:t xml:space="preserve">Troubles to have cost nearly 3000 lives, close to estimates produced </w:t>
      </w:r>
      <w:r w:rsidR="00F15547">
        <w:rPr>
          <w:rFonts w:ascii="Arial" w:hAnsi="Arial" w:cs="Arial"/>
        </w:rPr>
        <w:t>by meticulously aggregating conflict-related deaths, and calculate an intensity ‘half-life’ of nearly seven years. We argue by reference to the political and social h</w:t>
      </w:r>
      <w:bookmarkStart w:id="2" w:name="_GoBack"/>
      <w:bookmarkEnd w:id="2"/>
      <w:r w:rsidR="00F15547">
        <w:rPr>
          <w:rFonts w:ascii="Arial" w:hAnsi="Arial" w:cs="Arial"/>
        </w:rPr>
        <w:t xml:space="preserve">istory of Northern Ireland that the conditions may still be in place in Northern Ireland for a further wave of conflict to be initiated, and thus that Brexit negotiations need to be very cautious in its approach to </w:t>
      </w:r>
      <w:r w:rsidR="009D1C84">
        <w:rPr>
          <w:rFonts w:ascii="Arial" w:hAnsi="Arial" w:cs="Arial"/>
        </w:rPr>
        <w:t xml:space="preserve">the region and the land border separating it from the EU. </w:t>
      </w:r>
      <w:r w:rsidR="00F15547">
        <w:rPr>
          <w:rFonts w:ascii="Arial" w:hAnsi="Arial" w:cs="Arial"/>
        </w:rPr>
        <w:t xml:space="preserve"> </w:t>
      </w:r>
    </w:p>
    <w:p w14:paraId="7B17F2E6" w14:textId="77777777" w:rsidR="00FD60E2" w:rsidRPr="003400A5" w:rsidRDefault="00FD60E2" w:rsidP="000B02C5">
      <w:pPr>
        <w:numPr>
          <w:ilvl w:val="0"/>
          <w:numId w:val="1"/>
        </w:numPr>
        <w:spacing w:before="100" w:beforeAutospacing="1" w:after="100" w:afterAutospacing="1" w:line="480" w:lineRule="auto"/>
        <w:ind w:left="0"/>
        <w:rPr>
          <w:rFonts w:ascii="Arial" w:hAnsi="Arial" w:cs="Arial"/>
        </w:rPr>
      </w:pPr>
      <w:commentRangeStart w:id="3"/>
      <w:r w:rsidRPr="003400A5">
        <w:rPr>
          <w:rFonts w:ascii="Arial" w:hAnsi="Arial" w:cs="Arial"/>
        </w:rPr>
        <w:t xml:space="preserve">(Video Abstract) </w:t>
      </w:r>
      <w:commentRangeEnd w:id="3"/>
      <w:r w:rsidRPr="003400A5">
        <w:rPr>
          <w:rStyle w:val="CommentReference"/>
        </w:rPr>
        <w:commentReference w:id="3"/>
      </w:r>
    </w:p>
    <w:p w14:paraId="60CE5CF6" w14:textId="77777777" w:rsidR="00FD60E2" w:rsidRPr="003400A5" w:rsidRDefault="00FD60E2" w:rsidP="000B02C5">
      <w:pPr>
        <w:spacing w:before="100" w:beforeAutospacing="1" w:after="100" w:afterAutospacing="1" w:line="480" w:lineRule="auto"/>
        <w:rPr>
          <w:rFonts w:ascii="Arial" w:hAnsi="Arial" w:cs="Arial"/>
        </w:rPr>
      </w:pPr>
    </w:p>
    <w:p w14:paraId="67D12980" w14:textId="77777777" w:rsidR="00FD60E2" w:rsidRPr="003400A5" w:rsidRDefault="00FD60E2" w:rsidP="000B02C5">
      <w:pPr>
        <w:numPr>
          <w:ilvl w:val="0"/>
          <w:numId w:val="1"/>
        </w:numPr>
        <w:spacing w:before="100" w:beforeAutospacing="1" w:after="100" w:afterAutospacing="1" w:line="480" w:lineRule="auto"/>
        <w:ind w:left="0"/>
        <w:rPr>
          <w:rFonts w:ascii="Arial" w:hAnsi="Arial" w:cs="Arial"/>
        </w:rPr>
      </w:pPr>
      <w:commentRangeStart w:id="4"/>
      <w:r w:rsidRPr="003400A5">
        <w:rPr>
          <w:rFonts w:ascii="Arial" w:hAnsi="Arial" w:cs="Arial"/>
        </w:rPr>
        <w:t>3-6</w:t>
      </w:r>
      <w:r w:rsidRPr="003400A5">
        <w:rPr>
          <w:rStyle w:val="apple-converted-space"/>
          <w:rFonts w:ascii="Arial" w:hAnsi="Arial" w:cs="Arial"/>
        </w:rPr>
        <w:t> </w:t>
      </w:r>
      <w:r w:rsidRPr="003400A5">
        <w:rPr>
          <w:rFonts w:ascii="Arial" w:hAnsi="Arial" w:cs="Arial"/>
          <w:b/>
          <w:bCs/>
        </w:rPr>
        <w:t>keywords</w:t>
      </w:r>
      <w:r w:rsidRPr="003400A5">
        <w:rPr>
          <w:rFonts w:ascii="Arial" w:hAnsi="Arial" w:cs="Arial"/>
        </w:rPr>
        <w:t xml:space="preserve">. </w:t>
      </w:r>
      <w:commentRangeEnd w:id="4"/>
      <w:r w:rsidRPr="003400A5">
        <w:rPr>
          <w:rStyle w:val="CommentReference"/>
        </w:rPr>
        <w:commentReference w:id="4"/>
      </w:r>
    </w:p>
    <w:p w14:paraId="5E31EF10" w14:textId="0EE7DB7A" w:rsidR="00FD60E2" w:rsidRPr="003400A5" w:rsidRDefault="00FD60E2" w:rsidP="000B02C5">
      <w:pPr>
        <w:spacing w:line="480" w:lineRule="auto"/>
        <w:rPr>
          <w:rFonts w:ascii="Arial" w:hAnsi="Arial" w:cs="Arial"/>
        </w:rPr>
      </w:pPr>
      <w:r w:rsidRPr="003400A5">
        <w:rPr>
          <w:rFonts w:ascii="Arial" w:hAnsi="Arial" w:cs="Arial"/>
        </w:rPr>
        <w:lastRenderedPageBreak/>
        <w:t>Brexit; Northern Ireland; Mortality</w:t>
      </w:r>
      <w:r w:rsidR="003400A5" w:rsidRPr="003400A5">
        <w:rPr>
          <w:rFonts w:ascii="Arial" w:hAnsi="Arial" w:cs="Arial"/>
        </w:rPr>
        <w:t>; Troubles; Data Visualisation</w:t>
      </w:r>
    </w:p>
    <w:p w14:paraId="3CAD114E" w14:textId="77777777" w:rsidR="00FD60E2" w:rsidRPr="003400A5" w:rsidRDefault="00FD60E2" w:rsidP="000B02C5">
      <w:pPr>
        <w:numPr>
          <w:ilvl w:val="0"/>
          <w:numId w:val="1"/>
        </w:numPr>
        <w:spacing w:before="100" w:beforeAutospacing="1" w:after="100" w:afterAutospacing="1" w:line="480" w:lineRule="auto"/>
        <w:ind w:left="0"/>
        <w:rPr>
          <w:rFonts w:ascii="Arial" w:hAnsi="Arial" w:cs="Arial"/>
        </w:rPr>
      </w:pPr>
      <w:commentRangeStart w:id="5"/>
      <w:r w:rsidRPr="003400A5">
        <w:rPr>
          <w:rFonts w:ascii="Arial" w:hAnsi="Arial" w:cs="Arial"/>
          <w:b/>
          <w:bCs/>
        </w:rPr>
        <w:t>Funding details</w:t>
      </w:r>
      <w:r w:rsidRPr="003400A5">
        <w:rPr>
          <w:rFonts w:ascii="Arial" w:hAnsi="Arial" w:cs="Arial"/>
        </w:rPr>
        <w:t xml:space="preserve">. </w:t>
      </w:r>
      <w:commentRangeEnd w:id="5"/>
      <w:r w:rsidRPr="003400A5">
        <w:rPr>
          <w:rStyle w:val="CommentReference"/>
        </w:rPr>
        <w:commentReference w:id="5"/>
      </w:r>
    </w:p>
    <w:p w14:paraId="567DA4AB" w14:textId="77777777" w:rsidR="00FD60E2" w:rsidRPr="003400A5" w:rsidRDefault="00FD60E2" w:rsidP="000B02C5">
      <w:pPr>
        <w:spacing w:before="100" w:beforeAutospacing="1" w:after="100" w:afterAutospacing="1" w:line="480" w:lineRule="auto"/>
        <w:rPr>
          <w:rFonts w:ascii="Arial" w:hAnsi="Arial" w:cs="Arial"/>
        </w:rPr>
      </w:pPr>
      <w:r w:rsidRPr="003400A5">
        <w:rPr>
          <w:rFonts w:ascii="Arial" w:hAnsi="Arial" w:cs="Arial"/>
        </w:rPr>
        <w:t>This research received no specific funding.</w:t>
      </w:r>
    </w:p>
    <w:p w14:paraId="2D230AF7" w14:textId="77777777" w:rsidR="00FD60E2" w:rsidRPr="003400A5" w:rsidRDefault="00FD60E2" w:rsidP="000B02C5">
      <w:pPr>
        <w:numPr>
          <w:ilvl w:val="0"/>
          <w:numId w:val="1"/>
        </w:numPr>
        <w:spacing w:before="100" w:beforeAutospacing="1" w:after="100" w:afterAutospacing="1" w:line="480" w:lineRule="auto"/>
        <w:ind w:left="0"/>
        <w:rPr>
          <w:rFonts w:ascii="Arial" w:hAnsi="Arial" w:cs="Arial"/>
        </w:rPr>
      </w:pPr>
      <w:commentRangeStart w:id="6"/>
      <w:r w:rsidRPr="003400A5">
        <w:rPr>
          <w:rFonts w:ascii="Arial" w:hAnsi="Arial" w:cs="Arial"/>
          <w:b/>
          <w:bCs/>
        </w:rPr>
        <w:t>Disclosure statement</w:t>
      </w:r>
      <w:r w:rsidRPr="003400A5">
        <w:rPr>
          <w:rFonts w:ascii="Arial" w:hAnsi="Arial" w:cs="Arial"/>
        </w:rPr>
        <w:t xml:space="preserve">. </w:t>
      </w:r>
      <w:commentRangeEnd w:id="6"/>
      <w:r w:rsidRPr="003400A5">
        <w:rPr>
          <w:rStyle w:val="CommentReference"/>
        </w:rPr>
        <w:commentReference w:id="6"/>
      </w:r>
    </w:p>
    <w:p w14:paraId="34686D37" w14:textId="77777777" w:rsidR="00FD60E2" w:rsidRPr="003400A5" w:rsidRDefault="00FD60E2" w:rsidP="000B02C5">
      <w:pPr>
        <w:spacing w:before="100" w:beforeAutospacing="1" w:after="100" w:afterAutospacing="1" w:line="480" w:lineRule="auto"/>
        <w:rPr>
          <w:rFonts w:ascii="Arial" w:hAnsi="Arial" w:cs="Arial"/>
        </w:rPr>
      </w:pPr>
      <w:r w:rsidRPr="003400A5">
        <w:rPr>
          <w:rFonts w:ascii="Arial" w:hAnsi="Arial" w:cs="Arial"/>
        </w:rPr>
        <w:t>No potential conflict of interest was reported by the authors.</w:t>
      </w:r>
    </w:p>
    <w:p w14:paraId="25329566" w14:textId="77777777" w:rsidR="00FD60E2" w:rsidRPr="003400A5" w:rsidRDefault="00FD60E2" w:rsidP="000B02C5">
      <w:pPr>
        <w:numPr>
          <w:ilvl w:val="0"/>
          <w:numId w:val="1"/>
        </w:numPr>
        <w:spacing w:before="100" w:beforeAutospacing="1" w:after="100" w:afterAutospacing="1" w:line="480" w:lineRule="auto"/>
        <w:ind w:left="0"/>
        <w:rPr>
          <w:rFonts w:ascii="Arial" w:hAnsi="Arial" w:cs="Arial"/>
        </w:rPr>
      </w:pPr>
      <w:commentRangeStart w:id="7"/>
      <w:r w:rsidRPr="003400A5">
        <w:rPr>
          <w:rFonts w:ascii="Arial" w:hAnsi="Arial" w:cs="Arial"/>
          <w:b/>
          <w:bCs/>
        </w:rPr>
        <w:t>Biographical note.</w:t>
      </w:r>
      <w:r w:rsidRPr="003400A5">
        <w:rPr>
          <w:rStyle w:val="apple-converted-space"/>
          <w:rFonts w:ascii="Arial" w:hAnsi="Arial" w:cs="Arial"/>
        </w:rPr>
        <w:t> </w:t>
      </w:r>
      <w:r w:rsidRPr="003400A5">
        <w:rPr>
          <w:rFonts w:ascii="Arial" w:hAnsi="Arial" w:cs="Arial"/>
        </w:rPr>
        <w:t xml:space="preserve"> </w:t>
      </w:r>
      <w:commentRangeEnd w:id="7"/>
      <w:r w:rsidRPr="003400A5">
        <w:rPr>
          <w:rStyle w:val="CommentReference"/>
        </w:rPr>
        <w:commentReference w:id="7"/>
      </w:r>
      <w:r w:rsidRPr="003400A5">
        <w:rPr>
          <w:rFonts w:ascii="Arial" w:hAnsi="Arial" w:cs="Arial"/>
        </w:rPr>
        <w:t>[up to 100 words]</w:t>
      </w:r>
    </w:p>
    <w:p w14:paraId="209A294C" w14:textId="4458FA94" w:rsidR="00FD60E2" w:rsidRPr="003400A5" w:rsidRDefault="003575AB" w:rsidP="000B02C5">
      <w:pPr>
        <w:spacing w:before="100" w:beforeAutospacing="1" w:after="100" w:afterAutospacing="1" w:line="480" w:lineRule="auto"/>
        <w:rPr>
          <w:rFonts w:ascii="Arial" w:hAnsi="Arial" w:cs="Arial"/>
        </w:rPr>
      </w:pPr>
      <w:r>
        <w:rPr>
          <w:rFonts w:ascii="Arial" w:hAnsi="Arial" w:cs="Arial"/>
        </w:rPr>
        <w:t xml:space="preserve">Jon Minton is a researcher based in the School of Social &amp; Political Science at the University of Glasgow. His primary research interest is in the applications of complex data visualisation approaches to exploring and understanding patterns in population data. </w:t>
      </w:r>
    </w:p>
    <w:p w14:paraId="552F07C6" w14:textId="77777777" w:rsidR="00FD60E2" w:rsidRPr="003400A5" w:rsidRDefault="00FD60E2" w:rsidP="000B02C5">
      <w:pPr>
        <w:numPr>
          <w:ilvl w:val="0"/>
          <w:numId w:val="1"/>
        </w:numPr>
        <w:spacing w:before="100" w:beforeAutospacing="1" w:after="100" w:afterAutospacing="1" w:line="480" w:lineRule="auto"/>
        <w:ind w:left="0"/>
        <w:rPr>
          <w:rFonts w:ascii="Arial" w:hAnsi="Arial" w:cs="Arial"/>
        </w:rPr>
      </w:pPr>
      <w:commentRangeStart w:id="8"/>
      <w:r w:rsidRPr="003400A5">
        <w:rPr>
          <w:rFonts w:ascii="Arial" w:hAnsi="Arial" w:cs="Arial"/>
          <w:b/>
          <w:bCs/>
        </w:rPr>
        <w:t>Geolocation information.</w:t>
      </w:r>
      <w:r w:rsidRPr="003400A5">
        <w:rPr>
          <w:rStyle w:val="apple-converted-space"/>
          <w:rFonts w:ascii="Arial" w:hAnsi="Arial" w:cs="Arial"/>
        </w:rPr>
        <w:t> </w:t>
      </w:r>
      <w:r w:rsidRPr="003400A5">
        <w:rPr>
          <w:rFonts w:ascii="Arial" w:hAnsi="Arial" w:cs="Arial"/>
        </w:rPr>
        <w:t xml:space="preserve"> </w:t>
      </w:r>
      <w:commentRangeEnd w:id="8"/>
      <w:r w:rsidRPr="003400A5">
        <w:rPr>
          <w:rStyle w:val="CommentReference"/>
        </w:rPr>
        <w:commentReference w:id="8"/>
      </w:r>
    </w:p>
    <w:p w14:paraId="084A157E" w14:textId="77777777" w:rsidR="00FD60E2" w:rsidRPr="003400A5" w:rsidRDefault="00FD60E2" w:rsidP="000B02C5">
      <w:pPr>
        <w:spacing w:line="480" w:lineRule="auto"/>
        <w:rPr>
          <w:rFonts w:ascii="Arial" w:hAnsi="Arial" w:cs="Arial"/>
        </w:rPr>
      </w:pPr>
      <w:r w:rsidRPr="003400A5">
        <w:rPr>
          <w:rFonts w:ascii="Arial" w:hAnsi="Arial" w:cs="Arial"/>
        </w:rPr>
        <w:t>Scotland, UK</w:t>
      </w:r>
    </w:p>
    <w:p w14:paraId="1D273F18" w14:textId="77777777" w:rsidR="00FD60E2" w:rsidRPr="003400A5" w:rsidRDefault="00FD60E2" w:rsidP="000B02C5">
      <w:pPr>
        <w:numPr>
          <w:ilvl w:val="0"/>
          <w:numId w:val="1"/>
        </w:numPr>
        <w:spacing w:before="100" w:beforeAutospacing="1" w:after="100" w:afterAutospacing="1" w:line="480" w:lineRule="auto"/>
        <w:ind w:left="0"/>
        <w:rPr>
          <w:rFonts w:ascii="Arial" w:hAnsi="Arial" w:cs="Arial"/>
        </w:rPr>
      </w:pPr>
      <w:commentRangeStart w:id="9"/>
      <w:r w:rsidRPr="003400A5">
        <w:rPr>
          <w:rFonts w:ascii="Arial" w:hAnsi="Arial" w:cs="Arial"/>
          <w:b/>
          <w:bCs/>
        </w:rPr>
        <w:t>Supplemental online material.</w:t>
      </w:r>
      <w:r w:rsidRPr="003400A5">
        <w:rPr>
          <w:rStyle w:val="apple-converted-space"/>
          <w:rFonts w:ascii="Arial" w:hAnsi="Arial" w:cs="Arial"/>
        </w:rPr>
        <w:t> </w:t>
      </w:r>
      <w:r w:rsidRPr="003400A5">
        <w:rPr>
          <w:rFonts w:ascii="Arial" w:hAnsi="Arial" w:cs="Arial"/>
        </w:rPr>
        <w:t xml:space="preserve"> </w:t>
      </w:r>
      <w:commentRangeEnd w:id="9"/>
      <w:r w:rsidRPr="003400A5">
        <w:rPr>
          <w:rStyle w:val="CommentReference"/>
        </w:rPr>
        <w:commentReference w:id="9"/>
      </w:r>
    </w:p>
    <w:p w14:paraId="05AC37AA" w14:textId="0A892313" w:rsidR="00FD60E2" w:rsidRPr="003400A5" w:rsidRDefault="003400A5" w:rsidP="003400A5">
      <w:pPr>
        <w:spacing w:line="480" w:lineRule="auto"/>
        <w:rPr>
          <w:rFonts w:ascii="Arial" w:hAnsi="Arial" w:cs="Arial"/>
        </w:rPr>
      </w:pPr>
      <w:r w:rsidRPr="003400A5">
        <w:rPr>
          <w:rFonts w:ascii="Arial" w:hAnsi="Arial" w:cs="Arial"/>
        </w:rPr>
        <w:t xml:space="preserve">The code used to produce the analyses presented here are available at the following location: </w:t>
      </w:r>
      <w:hyperlink r:id="rId12" w:history="1">
        <w:r w:rsidRPr="003400A5">
          <w:rPr>
            <w:rStyle w:val="Hyperlink"/>
            <w:rFonts w:ascii="Arial" w:hAnsi="Arial" w:cs="Arial"/>
            <w:color w:val="auto"/>
          </w:rPr>
          <w:t>https://github.com/JonM</w:t>
        </w:r>
        <w:r w:rsidRPr="003400A5">
          <w:rPr>
            <w:rStyle w:val="Hyperlink"/>
            <w:rFonts w:ascii="Arial" w:hAnsi="Arial" w:cs="Arial"/>
            <w:color w:val="auto"/>
          </w:rPr>
          <w:t>i</w:t>
        </w:r>
        <w:r w:rsidRPr="003400A5">
          <w:rPr>
            <w:rStyle w:val="Hyperlink"/>
            <w:rFonts w:ascii="Arial" w:hAnsi="Arial" w:cs="Arial"/>
            <w:color w:val="auto"/>
          </w:rPr>
          <w:t>nton/Northern_Ireland_Troubles</w:t>
        </w:r>
      </w:hyperlink>
      <w:r w:rsidRPr="003400A5">
        <w:rPr>
          <w:rFonts w:ascii="Arial" w:hAnsi="Arial" w:cs="Arial"/>
        </w:rPr>
        <w:t xml:space="preserve"> </w:t>
      </w:r>
    </w:p>
    <w:p w14:paraId="7E8A1205" w14:textId="77777777" w:rsidR="004D1C59" w:rsidRDefault="004D1C59" w:rsidP="000B02C5">
      <w:pPr>
        <w:spacing w:line="480" w:lineRule="auto"/>
        <w:sectPr w:rsidR="004D1C59">
          <w:footerReference w:type="default" r:id="rId13"/>
          <w:pgSz w:w="11906" w:h="16838"/>
          <w:pgMar w:top="1440" w:right="1440" w:bottom="1440" w:left="1440" w:header="708" w:footer="708" w:gutter="0"/>
          <w:cols w:space="708"/>
          <w:docGrid w:linePitch="360"/>
        </w:sectPr>
      </w:pPr>
    </w:p>
    <w:p w14:paraId="11E251D0" w14:textId="4D15170E" w:rsidR="00F119C2" w:rsidRPr="003400A5" w:rsidRDefault="00F1537E" w:rsidP="000B02C5">
      <w:pPr>
        <w:pStyle w:val="Heading1"/>
        <w:spacing w:line="480" w:lineRule="auto"/>
        <w:rPr>
          <w:color w:val="auto"/>
        </w:rPr>
      </w:pPr>
      <w:r w:rsidRPr="003400A5">
        <w:rPr>
          <w:color w:val="auto"/>
        </w:rPr>
        <w:lastRenderedPageBreak/>
        <w:t xml:space="preserve">Manuscript </w:t>
      </w:r>
    </w:p>
    <w:p w14:paraId="107F404D" w14:textId="24DB4E50" w:rsidR="00F1537E" w:rsidRPr="003400A5" w:rsidRDefault="00F1537E" w:rsidP="000B02C5">
      <w:pPr>
        <w:pStyle w:val="Heading2"/>
        <w:spacing w:line="480" w:lineRule="auto"/>
        <w:rPr>
          <w:color w:val="auto"/>
        </w:rPr>
      </w:pPr>
      <w:r w:rsidRPr="003400A5">
        <w:rPr>
          <w:color w:val="auto"/>
        </w:rPr>
        <w:t>Introduction</w:t>
      </w:r>
    </w:p>
    <w:p w14:paraId="0958BD8A" w14:textId="507BFDF6" w:rsidR="00975750" w:rsidRDefault="004F1F5D" w:rsidP="000B02C5">
      <w:pPr>
        <w:spacing w:line="480" w:lineRule="auto"/>
      </w:pPr>
      <w:r>
        <w:t xml:space="preserve">The issue of Northern Ireland, the Republic of Ireland, and the long border separating the two countries received relatively little attention in the run up to the EU Referendum on 23 June 2016. When the results of the Referendum were clear, and the Irish border became the only land border between the UK and the EU, Northern Ireland and the Republic of Ireland still received relatively little public or political attention. When, in the three months before the 2016 General Election, there were three terrorist events on the UK mainland, Northern Ireland still received relatively little attention in relation either to Brexit or UK government more generally, despite the region for many decades being one of Western Europe’s fulmination points for terrorist-related activity. However, at the time of writing (13 June 2016), in the days following the General Election results, mainland attention has finally turned to Northern Ireland, given </w:t>
      </w:r>
      <w:r w:rsidR="008210AD">
        <w:t xml:space="preserve">the critical role that the Democratic Unionist Party (DUP) may play in supporting a Conservative minority government, and the ramifications of Tory-DUP unions to stability both in Westminster and in the island of Ireland. </w:t>
      </w:r>
      <w:r w:rsidR="00D0423A">
        <w:t xml:space="preserve">This paper argues </w:t>
      </w:r>
      <w:r w:rsidR="008210AD">
        <w:t xml:space="preserve">that more attention should have been paid throughout to Northern Ireland, and for </w:t>
      </w:r>
      <w:r w:rsidR="00D0423A">
        <w:t xml:space="preserve">a deeper analysis and understanding of the causes and consequences of violent conflict in </w:t>
      </w:r>
      <w:r w:rsidR="008210AD">
        <w:t>the region</w:t>
      </w:r>
      <w:r w:rsidR="00203A77">
        <w:t xml:space="preserve">. </w:t>
      </w:r>
    </w:p>
    <w:p w14:paraId="48F3C7EE" w14:textId="77777777" w:rsidR="00975750" w:rsidRDefault="00203A77" w:rsidP="000B02C5">
      <w:pPr>
        <w:spacing w:line="480" w:lineRule="auto"/>
      </w:pPr>
      <w:r>
        <w:t xml:space="preserve">Three specific </w:t>
      </w:r>
      <w:r w:rsidR="00EE07C7">
        <w:t xml:space="preserve">empirical </w:t>
      </w:r>
      <w:r>
        <w:t xml:space="preserve">aims of this paper are: to use demographic data to visually illustrate the ‘excess deaths’ that appear attributable to the initiation of violent conflict in the early 1970s; to produce a number of estimates of total numbers of excess deaths </w:t>
      </w:r>
      <w:r w:rsidR="00EE07C7">
        <w:t xml:space="preserve">attributable to the conflict, based on observed patterns and trends in overall mortality, and compare these with estimates based on deaths directly attributed to violence; and to characterise the particular pattern of excess mortality observed in Northern Irish demographic data, and describe why this is consistent with a tit-for-tat form of sectarian conflict. </w:t>
      </w:r>
    </w:p>
    <w:p w14:paraId="359E8E5C" w14:textId="4BF7B8A4" w:rsidR="00D0423A" w:rsidRDefault="00A30D59" w:rsidP="000B02C5">
      <w:pPr>
        <w:spacing w:line="480" w:lineRule="auto"/>
      </w:pPr>
      <w:r>
        <w:t>Substantively</w:t>
      </w:r>
      <w:r w:rsidR="006764AA">
        <w:t>,</w:t>
      </w:r>
      <w:r>
        <w:t xml:space="preserve"> </w:t>
      </w:r>
      <w:r w:rsidR="006764AA">
        <w:t xml:space="preserve">we </w:t>
      </w:r>
      <w:r>
        <w:t>argue</w:t>
      </w:r>
      <w:r w:rsidR="00EE07C7">
        <w:t xml:space="preserve"> that t</w:t>
      </w:r>
      <w:r w:rsidR="005213D9">
        <w:t>he fundamentals which led to this earlier wave of death and instability may still be present within Northern Irish society, and that poorly handled Brexit negotiations risk re-</w:t>
      </w:r>
      <w:r w:rsidR="005213D9">
        <w:lastRenderedPageBreak/>
        <w:t xml:space="preserve">initiating a fresh wave of violence that, once started, may take decades to settle down again. </w:t>
      </w:r>
      <w:r w:rsidR="006764AA">
        <w:t xml:space="preserve">The logic of our model challenges a dominant narrative about the peace process in Northern Ireland, suggesting that key political events in the road to peace followed rather than led trends towards reduced violence in the </w:t>
      </w:r>
      <w:r>
        <w:t>region</w:t>
      </w:r>
      <w:r w:rsidR="006764AA">
        <w:t>.</w:t>
      </w:r>
      <w:r w:rsidR="005213D9">
        <w:t xml:space="preserve"> </w:t>
      </w:r>
    </w:p>
    <w:p w14:paraId="1EC82D46" w14:textId="31E01884" w:rsidR="00203A77" w:rsidRPr="003400A5" w:rsidRDefault="006764AA" w:rsidP="000B02C5">
      <w:pPr>
        <w:spacing w:line="480" w:lineRule="auto"/>
      </w:pPr>
      <w:r>
        <w:t xml:space="preserve">In </w:t>
      </w:r>
      <w:r w:rsidR="005213D9">
        <w:t>section two</w:t>
      </w:r>
      <w:r>
        <w:t xml:space="preserve"> we</w:t>
      </w:r>
      <w:r w:rsidR="005213D9">
        <w:t xml:space="preserve"> will provide a brief history of the origins of Northern Ireland as a distinctly administered political territory, of the events which led to an initiation of violence in the early 1970s, and of key events and trends </w:t>
      </w:r>
      <w:r w:rsidR="001D2C6E">
        <w:t xml:space="preserve">in violence and peace which occurred in the decades since. Section three will introduce the data and methods </w:t>
      </w:r>
      <w:r w:rsidR="00A30D59">
        <w:t>used to</w:t>
      </w:r>
      <w:r>
        <w:t xml:space="preserve"> explore the impact of the Troubles on mortality patterns in Northern Ireland</w:t>
      </w:r>
      <w:r w:rsidR="001D2C6E">
        <w:t xml:space="preserve">. Section four will present </w:t>
      </w:r>
      <w:r>
        <w:t xml:space="preserve">descriptive data visualisation and predicted mortality surfaces from the model, </w:t>
      </w:r>
      <w:r w:rsidR="001D2C6E">
        <w:t xml:space="preserve">and estimates </w:t>
      </w:r>
      <w:r>
        <w:t xml:space="preserve">of </w:t>
      </w:r>
      <w:r w:rsidR="001D2C6E">
        <w:t xml:space="preserve">total excess mortality associated with the conflict. Finally, section five, the discussion, will begin by comparing my estimates of conflict-attributable mortality with extant estimates of conflict-attributable deaths; then conclude with a discussion of political, sociological and social psychological literature which may shed light on the </w:t>
      </w:r>
      <w:r w:rsidR="001D2C6E" w:rsidRPr="003400A5">
        <w:t xml:space="preserve">patterns </w:t>
      </w:r>
      <w:r w:rsidR="00CC1DA7" w:rsidRPr="003400A5">
        <w:t>uncovered, before highlighting a number of critical pitfalls that Westminster should be mindful of in Brexit negotiations to reduce the risk of a new initiation of conflict in the region.</w:t>
      </w:r>
      <w:r w:rsidR="001D2C6E" w:rsidRPr="003400A5">
        <w:t xml:space="preserve"> </w:t>
      </w:r>
    </w:p>
    <w:p w14:paraId="007DA5B5" w14:textId="5761B02A" w:rsidR="00203A77" w:rsidRPr="003400A5" w:rsidRDefault="00CC1DA7" w:rsidP="000B02C5">
      <w:pPr>
        <w:pStyle w:val="Heading2"/>
        <w:spacing w:line="480" w:lineRule="auto"/>
        <w:rPr>
          <w:color w:val="auto"/>
        </w:rPr>
      </w:pPr>
      <w:r w:rsidRPr="003400A5">
        <w:rPr>
          <w:color w:val="auto"/>
        </w:rPr>
        <w:t>Ireland, Nort</w:t>
      </w:r>
      <w:r w:rsidR="003400A5" w:rsidRPr="003400A5">
        <w:rPr>
          <w:color w:val="auto"/>
        </w:rPr>
        <w:t>hern Ireland, and the Troubles</w:t>
      </w:r>
    </w:p>
    <w:p w14:paraId="06F2D6CB" w14:textId="458EE8D0" w:rsidR="00F130E9" w:rsidRDefault="00924589" w:rsidP="000B02C5">
      <w:pPr>
        <w:spacing w:line="480" w:lineRule="auto"/>
      </w:pPr>
      <w:r w:rsidRPr="003400A5">
        <w:t xml:space="preserve">The mathematical ecologist turned historian Peter </w:t>
      </w:r>
      <w:proofErr w:type="spellStart"/>
      <w:r w:rsidRPr="003400A5">
        <w:t>Turchin</w:t>
      </w:r>
      <w:proofErr w:type="spellEnd"/>
      <w:r w:rsidRPr="003400A5">
        <w:t xml:space="preserve"> has </w:t>
      </w:r>
      <w:r w:rsidR="0062486B" w:rsidRPr="003400A5">
        <w:t xml:space="preserve">argued that one of the central challenges in the establishment and maintenance of complex, large, hierarchical societies – </w:t>
      </w:r>
      <w:r w:rsidR="006764AA" w:rsidRPr="003400A5">
        <w:t xml:space="preserve">states and </w:t>
      </w:r>
      <w:r w:rsidR="0062486B" w:rsidRPr="003400A5">
        <w:t xml:space="preserve">empires </w:t>
      </w:r>
      <w:r w:rsidR="0062486B">
        <w:t xml:space="preserve">– </w:t>
      </w:r>
      <w:r w:rsidR="006764AA">
        <w:t xml:space="preserve">is </w:t>
      </w:r>
      <w:r w:rsidR="0062486B">
        <w:t xml:space="preserve">the promotion of social cohesiveness across ethnic groups. </w:t>
      </w:r>
      <w:proofErr w:type="spellStart"/>
      <w:r w:rsidR="0062486B">
        <w:t>Turchin</w:t>
      </w:r>
      <w:proofErr w:type="spellEnd"/>
      <w:r w:rsidR="0062486B">
        <w:t xml:space="preserve"> thus suggests that complex societies can emerge only once </w:t>
      </w:r>
      <w:r w:rsidR="0062486B">
        <w:softHyphen/>
      </w:r>
      <w:proofErr w:type="spellStart"/>
      <w:r w:rsidR="0062486B">
        <w:rPr>
          <w:i/>
        </w:rPr>
        <w:t>meta</w:t>
      </w:r>
      <w:r w:rsidR="0062486B">
        <w:rPr>
          <w:i/>
        </w:rPr>
        <w:softHyphen/>
        <w:t>ethnic</w:t>
      </w:r>
      <w:proofErr w:type="spellEnd"/>
      <w:r w:rsidR="0062486B">
        <w:rPr>
          <w:i/>
        </w:rPr>
        <w:t xml:space="preserve"> </w:t>
      </w:r>
      <w:r w:rsidR="0062486B">
        <w:rPr>
          <w:i/>
        </w:rPr>
        <w:softHyphen/>
      </w:r>
      <w:r w:rsidR="0062486B">
        <w:t xml:space="preserve">communities, in which group membership can be readily identified </w:t>
      </w:r>
      <w:r w:rsidR="003D0EC1">
        <w:t xml:space="preserve">through ‘symbolic markers’, have been established and agreed upon. </w:t>
      </w:r>
      <w:proofErr w:type="spellStart"/>
      <w:r w:rsidR="003D0EC1">
        <w:t>Turchin</w:t>
      </w:r>
      <w:proofErr w:type="spellEnd"/>
      <w:r w:rsidR="003D0EC1">
        <w:t xml:space="preserve"> states that the “most commonly used kind of symbolic marker to delineate </w:t>
      </w:r>
      <w:proofErr w:type="spellStart"/>
      <w:r w:rsidR="003D0EC1">
        <w:t>metaethnic</w:t>
      </w:r>
      <w:proofErr w:type="spellEnd"/>
      <w:r w:rsidR="003D0EC1">
        <w:t xml:space="preserve"> communities is religion – particularly, the exclusive, proselytizing kinds such as Christianity or Islam.” </w:t>
      </w:r>
      <w:r w:rsidR="00A30D59">
        <w:fldChar w:fldCharType="begin" w:fldLock="1"/>
      </w:r>
      <w:r w:rsidR="00A30D59">
        <w:instrText>ADDIN CSL_CITATION { "citationItems" : [ { "id" : "ITEM-1", "itemData" : { "ISBN" : "1681-4363", "abstract" : "One of the greatest puzzles of human evolutionary history concerns the how and why of the transition from small-scale, \u2018simple\u2019 socie- ties to large-scale, hierarchically complex ones. This paper re- views theoretical approaches to resolving this puzzle. Our discus- sion integrates ideas and concepts from evolutionary biology, an- thropology, and political science. The evolutionary framework of multilevel selection suggests that complex hierarchies can arise in response to selection imposed by intergroup conflict (warfare). The logical coherency of this theory has been investigated with mathematical models, and its predictions were tested empirically by constructing a database of the largest territorial states in the world (with the focus on the preindustrial era).", "author" : [ { "dropping-particle" : "", "family" : "Turchin", "given" : "Peter", "non-dropping-particle" : "", "parse-names" : false, "suffix" : "" }, { "dropping-particle" : "", "family" : "Gavrilets", "given" : "Sergey", "non-dropping-particle" : "", "parse-names" : false, "suffix" : "" } ], "container-title" : "Social Evolution &amp; History", "id" : "ITEM-1", "issue" : "2", "issued" : { "date-parts" : [ [ "2009" ] ] }, "page" : "167-198", "title" : "Evolution of Complex Hierarchical Societies", "type" : "article-journal", "volume" : "8" }, "uris" : [ "http://www.mendeley.com/documents/?uuid=dcfbe2fd-f303-459d-a9df-236570ec8cfa" ] } ], "mendeley" : { "formattedCitation" : "(Turchin &amp; Gavrilets, 2009)", "plainTextFormattedCitation" : "(Turchin &amp; Gavrilets, 2009)", "previouslyFormattedCitation" : "(Turchin &amp; Gavrilets, 2009)" }, "properties" : { "noteIndex" : 0 }, "schema" : "https://github.com/citation-style-language/schema/raw/master/csl-citation.json" }</w:instrText>
      </w:r>
      <w:r w:rsidR="00A30D59">
        <w:fldChar w:fldCharType="separate"/>
      </w:r>
      <w:r w:rsidR="00A30D59" w:rsidRPr="00A30D59">
        <w:rPr>
          <w:noProof/>
        </w:rPr>
        <w:t>(Turchin &amp; Gavrilets, 2009)</w:t>
      </w:r>
      <w:r w:rsidR="00A30D59">
        <w:fldChar w:fldCharType="end"/>
      </w:r>
      <w:r w:rsidR="00A30D59">
        <w:t xml:space="preserve"> </w:t>
      </w:r>
      <w:r w:rsidR="003D0EC1">
        <w:t xml:space="preserve">[p. 181] Common </w:t>
      </w:r>
      <w:proofErr w:type="spellStart"/>
      <w:r w:rsidR="003D0EC1">
        <w:t>metaethnic</w:t>
      </w:r>
      <w:proofErr w:type="spellEnd"/>
      <w:r w:rsidR="003D0EC1">
        <w:t xml:space="preserve"> identity allows for greater within-group cohesiveness and for the assimilation of otherwise ethnically heterogeneous populations, but where </w:t>
      </w:r>
      <w:r w:rsidR="003D0EC1">
        <w:lastRenderedPageBreak/>
        <w:t xml:space="preserve">distinct and mutually exclusive </w:t>
      </w:r>
      <w:proofErr w:type="spellStart"/>
      <w:r w:rsidR="003D0EC1">
        <w:t>metaethnic</w:t>
      </w:r>
      <w:proofErr w:type="spellEnd"/>
      <w:r w:rsidR="003D0EC1">
        <w:t xml:space="preserve"> groups are territorially contiguous, </w:t>
      </w:r>
      <w:proofErr w:type="spellStart"/>
      <w:r w:rsidR="003D0EC1" w:rsidRPr="00A30D59">
        <w:t>metaethnic</w:t>
      </w:r>
      <w:proofErr w:type="spellEnd"/>
      <w:r w:rsidR="003D0EC1" w:rsidRPr="00A30D59">
        <w:t xml:space="preserve"> </w:t>
      </w:r>
      <w:r w:rsidR="003D0EC1">
        <w:t>frontiers form</w:t>
      </w:r>
      <w:r w:rsidR="00F130E9">
        <w:t xml:space="preserve">, and at these frontiers competition and conflict between societies is often intense. Catholic religion pre-existed Protestantism, began in Southern Europe, and spread north and west, including to Ireland at Europe’s western periphery. Protestantism then emerged later, from Northern Europe, and spread south and west. The conditions for a </w:t>
      </w:r>
      <w:proofErr w:type="spellStart"/>
      <w:r w:rsidR="00F130E9">
        <w:t>metaethnic</w:t>
      </w:r>
      <w:proofErr w:type="spellEnd"/>
      <w:r w:rsidR="00F130E9">
        <w:t xml:space="preserve"> frontier</w:t>
      </w:r>
      <w:r w:rsidR="00CB6062">
        <w:t xml:space="preserve"> in the island of Ireland</w:t>
      </w:r>
      <w:r w:rsidR="00F130E9">
        <w:t>, demarcated along Catholic-Protestant religious distinction, were thus centuries in the making</w:t>
      </w:r>
      <w:r w:rsidR="00CB6062">
        <w:t xml:space="preserve">. </w:t>
      </w:r>
    </w:p>
    <w:p w14:paraId="331DF0CD" w14:textId="629080E7" w:rsidR="00CB6062" w:rsidRDefault="00CB6062" w:rsidP="000B02C5">
      <w:pPr>
        <w:spacing w:line="480" w:lineRule="auto"/>
      </w:pPr>
      <w:r>
        <w:t xml:space="preserve">Within the political organs of </w:t>
      </w:r>
      <w:r w:rsidR="006764AA">
        <w:t xml:space="preserve">Ireland under the British Empire - </w:t>
      </w:r>
      <w:r>
        <w:t>an imperious, expansionist state united by Protestant identity</w:t>
      </w:r>
      <w:r w:rsidR="006764AA">
        <w:t xml:space="preserve"> -</w:t>
      </w:r>
      <w:r>
        <w:t xml:space="preserve"> positions for Catholics were limited, and there were concerns amongst British imperialists that Ireland could be used as a cultural and potentially military ‘back door’ through which the Catholic Empires could undermine British imperial power and influence. Ireland thus held an ambivalent position within the British Empire, geographically proximate yet culturally distant, a ‘colony within the core’. Many of the patterns of political control and population management developed in the case of Ireland formed a blueprint for </w:t>
      </w:r>
      <w:r w:rsidR="006764AA">
        <w:t xml:space="preserve">later </w:t>
      </w:r>
      <w:r>
        <w:t xml:space="preserve">British colonialism. </w:t>
      </w:r>
      <w:r>
        <w:fldChar w:fldCharType="begin" w:fldLock="1"/>
      </w:r>
      <w:r w:rsidR="00023023">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&amp; O\u2019Dowd, 2007)", "plainTextFormattedCitation" : "(Anderson &amp; O\u2019Dowd, 2007)", "previouslyFormattedCitation" : "(Anderson &amp; O\u2019Dowd, 2007)" }, "properties" : { "noteIndex" : 0 }, "schema" : "https://github.com/citation-style-language/schema/raw/master/csl-citation.json" }</w:instrText>
      </w:r>
      <w:r>
        <w:fldChar w:fldCharType="separate"/>
      </w:r>
      <w:r w:rsidRPr="00CB6062">
        <w:rPr>
          <w:noProof/>
        </w:rPr>
        <w:t>(Anderson &amp; O’Dowd, 2007)</w:t>
      </w:r>
      <w:r>
        <w:fldChar w:fldCharType="end"/>
      </w:r>
    </w:p>
    <w:p w14:paraId="46850601" w14:textId="0618AB36" w:rsidR="003426AF" w:rsidRDefault="005E7056" w:rsidP="000B02C5">
      <w:pPr>
        <w:spacing w:line="480" w:lineRule="auto"/>
      </w:pPr>
      <w:r>
        <w:t xml:space="preserve">The </w:t>
      </w:r>
      <w:r w:rsidR="007232AE">
        <w:t xml:space="preserve">Great Famine of the 1840s </w:t>
      </w:r>
      <w:r w:rsidR="006764AA">
        <w:t xml:space="preserve">led </w:t>
      </w:r>
      <w:r w:rsidR="007232AE">
        <w:t xml:space="preserve">to mass emigration and population decline. </w:t>
      </w:r>
      <w:r>
        <w:t>B</w:t>
      </w:r>
      <w:r w:rsidR="007232AE">
        <w:t>y the end of the 19</w:t>
      </w:r>
      <w:r w:rsidR="007232AE" w:rsidRPr="007232AE">
        <w:rPr>
          <w:vertAlign w:val="superscript"/>
        </w:rPr>
        <w:t>th</w:t>
      </w:r>
      <w:r w:rsidR="007232AE">
        <w:t xml:space="preserve"> century the demography and economy of Ireland had shifted to the North East of the island, in particular to the city of Belfast, and the populist Protestant Orange Order had emerged in response to increasing political agitation from Catholic populations for improved voting rights and the return of Irish Home Rule. The backlash to Home Rule from Ulster Unionists led to the establishment of paramilitary organisations by both sides, and a period of civil war which continued with the Great War of 1914, and culminated in the Easter Rising of 1916, in which fifteen Irish </w:t>
      </w:r>
      <w:r w:rsidR="00266368">
        <w:t xml:space="preserve">nationalists launched a failed coup attempt and were executed. </w:t>
      </w:r>
      <w:r>
        <w:t>I</w:t>
      </w:r>
      <w:r w:rsidR="00266368">
        <w:t xml:space="preserve">n 1918 Sinn </w:t>
      </w:r>
      <w:proofErr w:type="spellStart"/>
      <w:r w:rsidR="00266368" w:rsidRPr="00266368">
        <w:t>Féin</w:t>
      </w:r>
      <w:proofErr w:type="spellEnd"/>
      <w:r w:rsidR="00266368">
        <w:t xml:space="preserve"> were elected with more than three quarters of Irish seats in Westminster</w:t>
      </w:r>
      <w:r w:rsidR="006764AA">
        <w:t>,</w:t>
      </w:r>
      <w:r w:rsidR="00266368">
        <w:t xml:space="preserve"> civil war intensified, and the paramilitary Irish Republican Army (IRA) fought a guerrilla war into the 1920s. Ireland was partitioned, and a truce was established in 1921. The majority Protestant ‘Southern Ireland’ renamed itself the ‘Irish Free State’ </w:t>
      </w:r>
      <w:r w:rsidR="00266368">
        <w:lastRenderedPageBreak/>
        <w:t xml:space="preserve">and became an independent state in 1922, leading also </w:t>
      </w:r>
      <w:r w:rsidR="003426AF">
        <w:t xml:space="preserve">to the formation of Northern Ireland in that year as a distinct administrative geography, which voted against Home Rule and to remain a British territory. </w:t>
      </w:r>
    </w:p>
    <w:p w14:paraId="5D2813A9" w14:textId="6479CF10" w:rsidR="003426AF" w:rsidRDefault="003426AF" w:rsidP="000B02C5">
      <w:pPr>
        <w:spacing w:line="480" w:lineRule="auto"/>
      </w:pPr>
      <w:r>
        <w:fldChar w:fldCharType="begin" w:fldLock="1"/>
      </w:r>
      <w:r w:rsidR="005223FE">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&amp; O\u2019Dowd, 2007)", "plainTextFormattedCitation" : "(Anderson &amp; O\u2019Dowd, 2007)", "previouslyFormattedCitation" : "(Anderson &amp; O\u2019Dowd, 2007)" }, "properties" : { "noteIndex" : 0 }, "schema" : "https://github.com/citation-style-language/schema/raw/master/csl-citation.json" }</w:instrText>
      </w:r>
      <w:r>
        <w:fldChar w:fldCharType="separate"/>
      </w:r>
      <w:r w:rsidR="00023023" w:rsidRPr="00023023">
        <w:rPr>
          <w:noProof/>
        </w:rPr>
        <w:t>(Anderson &amp; O’Dowd, 2007)</w:t>
      </w:r>
      <w:r>
        <w:fldChar w:fldCharType="end"/>
      </w:r>
      <w:r>
        <w:t xml:space="preserve"> summarise the legacy of the establishment of the Northern Irish border as follows:</w:t>
      </w:r>
    </w:p>
    <w:p w14:paraId="2387C1DA" w14:textId="1B57D829" w:rsidR="005F5990" w:rsidRDefault="003426AF" w:rsidP="000B02C5">
      <w:pPr>
        <w:spacing w:line="480" w:lineRule="auto"/>
        <w:ind w:left="720"/>
      </w:pPr>
      <w:r>
        <w:t xml:space="preserve">Under one-party unionist rule for 50 years, Northern Ireland </w:t>
      </w:r>
      <w:r w:rsidR="006764AA">
        <w:t xml:space="preserve">proved </w:t>
      </w:r>
      <w:r>
        <w:t xml:space="preserve">to be the most problematic legacy of partition. It provided a ‘cage’ for two communal blocs locked into a mutually antagonistic and self-reproducing relationship with each other. The sizeable nationalist minority – initially a third of its population but threatening to erode unionism’s ‘safe’ majority – was the main loser, disaffected and permanently excluded from state power. The majority unionist bloc maximised its micro-territorial control within Northern Ireland, but it retained endemic fears of being undermined by nationalist population growth, and/or physical attacks on partition, and/or being ‘sold out’ by British governments. </w:t>
      </w:r>
      <w:r w:rsidR="005E7056">
        <w:t xml:space="preserve"> […] </w:t>
      </w:r>
      <w:r>
        <w:t>The eruption of ethno-national violence a half-century after partition was part of the imperial legacy. [p. 947]</w:t>
      </w:r>
    </w:p>
    <w:p w14:paraId="4145393A" w14:textId="1BD5AE89" w:rsidR="003426AF" w:rsidRPr="00A30D59" w:rsidRDefault="008D1A01" w:rsidP="000B02C5">
      <w:pPr>
        <w:spacing w:line="480" w:lineRule="auto"/>
      </w:pPr>
      <w:r>
        <w:t xml:space="preserve">In </w:t>
      </w:r>
      <w:r w:rsidR="003426AF">
        <w:t xml:space="preserve">the late 1960s a Catholic protest movement emerged, inspired by the civil rights’ movement in the United States, prompting an often violent Protestant counter-movement opposed to Catholic marches, leading to widespread clashes between sides. </w:t>
      </w:r>
      <w:r>
        <w:t xml:space="preserve">Such </w:t>
      </w:r>
      <w:r w:rsidR="003426AF">
        <w:t xml:space="preserve">clashes could not be controlled by the police forces, and the British Army were mobilised. The IRA was conflicted in its response to both the Army presence and Protestant reprisals, and in 1969 split into the less-militant Official IRA (OIRA), and the more militant Provisional IRA (PIRA). The Army, the OIRA and the PIRA competed to win favour and appear legitimate from the perspective of Catholic communities. Army attempts to disarm Catholic communities, combined with a lack of success defending them, further acted to delegitimise the Army amongst affected Catholic communities. </w:t>
      </w:r>
      <w:r w:rsidR="00975750">
        <w:t>T</w:t>
      </w:r>
      <w:r w:rsidR="003426AF">
        <w:t>he PIRA then began attacking the Army in 1971</w:t>
      </w:r>
      <w:r>
        <w:t xml:space="preserve">, and internment </w:t>
      </w:r>
      <w:r w:rsidR="003426AF">
        <w:t>swiftly followed</w:t>
      </w:r>
      <w:r w:rsidR="006764AA">
        <w:t>,</w:t>
      </w:r>
      <w:r w:rsidR="003426AF">
        <w:t xml:space="preserve"> leading to protests in which 23 people died</w:t>
      </w:r>
      <w:r w:rsidR="006764AA">
        <w:t>;</w:t>
      </w:r>
      <w:r w:rsidR="003426AF">
        <w:t xml:space="preserve"> </w:t>
      </w:r>
      <w:r w:rsidR="006764AA">
        <w:t xml:space="preserve">army </w:t>
      </w:r>
      <w:r w:rsidR="003426AF">
        <w:lastRenderedPageBreak/>
        <w:t xml:space="preserve">troop numbers increased, and PIRA bombings and killings intensified. </w:t>
      </w:r>
      <w:r w:rsidR="006C78A1">
        <w:t>After</w:t>
      </w:r>
      <w:r w:rsidR="003426AF">
        <w:t xml:space="preserve"> internment</w:t>
      </w:r>
      <w:r w:rsidR="006C78A1">
        <w:t>,</w:t>
      </w:r>
      <w:r w:rsidR="003426AF">
        <w:t xml:space="preserve"> amity then further increased through the deployment and actions of the Parachute Regiment (‘the Paras’)</w:t>
      </w:r>
      <w:r w:rsidR="000B02C5">
        <w:t xml:space="preserve">, </w:t>
      </w:r>
      <w:r w:rsidR="003426AF">
        <w:t xml:space="preserve">who </w:t>
      </w:r>
      <w:r w:rsidR="003426AF" w:rsidRPr="00A30D59">
        <w:t>faced a 7,000-strong Catholic civil rights march on 13 January 1972, ‘Bloody Sunday’, and shot dead 14 people later found to be unarmed. This event, more than any other, can be seen to have ignited the decades of sectarian conflict that followed.</w:t>
      </w:r>
      <w:r w:rsidR="00A30D59">
        <w:t xml:space="preserve"> </w:t>
      </w:r>
      <w:r w:rsidR="00A30D59">
        <w:fldChar w:fldCharType="begin" w:fldLock="1"/>
      </w:r>
      <w:r w:rsidR="00A30D59">
        <w:instrText>ADDIN CSL_CITATION { "citationItems" : [ { "id" : "ITEM-1", "itemData" : { "DOI" : "10.1136/bmjopen-2015-009924", "ISSN" : "2044-6055", "PMID" : "237", "abstract" : "Introduction: Only one-third of the European population meets the minimum recommended levels of physical activity (PA). Physical inactivity is a major risk factor for non-communicable diseases. Walking and cycling for transport (active mobility, AM) are well suited to provide regular PA. The European research project Physical Activity through Sustainable Transport Approaches (PASTA) pursues the following aims: (1) to investigate correlates and interrelations of AM, PA, air pollution and crash risk; (2) to evaluate the effectiveness of selected interventions to promote AM; (3) to improve health impact assessment (HIA) of AM; (4) to foster the exchange between the disciplines of public health and transport planning, and between research and practice. Methods and analysis: PASTA pursues a mixed-method and multilevel approach that is consistently applied in seven case study cities. Determinants of AM and the evaluation of measures to increase AM are investigated through a large scale longitudinal survey, with overall 14 000 respondents participating in Antwerp, Barcelona, London, Orebro, Rome, Vienna and Zurich. Contextual factors are systematically gathered in each city. PASTA generates empirical findings to improve HIA for AM, for example, with estimates of crash risks, factors on AM-PA substitution and carbon emissions savings from mode shifts. Findings from PASTA will inform WHO's online Health Economic Assessment Tool on the health benefits from cycling and/or walking. The study's wide scope, the combination of qualitative and quantitative methods and health and transport methods, the innovative survey design, the general and city-specific analyses, and the transdisciplinary composition of the consortium and the wider network of partners promise highly relevant insights for research and practice. Ethics and dissemination: Ethics approval has been obtained by the local ethics committees in the countries where the work is being conducted, and sent to the European Commission before the start of the survey. The PASTA website (http://www.pastaproject.eu) is at the core of all communication and dissemination activities.", "author" : [ { "dropping-particle" : "", "family" : "Gerike", "given" : "Regine", "non-dropping-particle" : "", "parse-names" : false, "suffix" : "" }, { "dropping-particle" : "", "family" : "Nazelle", "given" : "Audrey", "non-dropping-particle" : "de", "parse-names" : false, "suffix" : "" }, { "dropping-particle" : "", "family" : "Nieuwenhuijsen", "given" : "Mark", "non-dropping-particle" : "", "parse-names" : false, "suffix" : "" }, { "dropping-particle" : "", "family" : "Panis", "given" : "Luc Int", "non-dropping-particle" : "", "parse-names" : false, "suffix" : "" }, { "dropping-particle" : "", "family" : "Anaya", "given" : "Esther", "non-dropping-particle" : "", "parse-names" : false, "suffix" : "" }, { "dropping-particle" : "", "family" : "Avila-Palencia", "given" : "Ione", "non-dropping-particle" : "", "parse-names" : false, "suffix" : "" }, { "dropping-particle" : "", "family" : "Boschetti", "given" : "Florinda", "non-dropping-particle" : "", "parse-names" : false, "suffix" : "" }, { "dropping-particle" : "", "family" : "Brand", "given" : "Christian", "non-dropping-particle" : "", "parse-names" : false, "suffix" : "" }, { "dropping-particle" : "", "family" : "Cole-Hunter", "given" : "Tom", "non-dropping-particle" : "", "parse-names" : false, "suffix" : "" }, { "dropping-particle" : "", "family" : "Dons", "given" : "Evi", "non-dropping-particle" : "", "parse-names" : false, "suffix" : "" }, { "dropping-particle" : "", "family" : "Eriksson", "given" : "Ulf", "non-dropping-particle" : "", "parse-names" : false, "suffix" : "" }, { "dropping-particle" : "", "family" : "Gaupp-Berghausen", "given" : "Mailin", "non-dropping-particle" : "", "parse-names" : false, "suffix" : "" }, { "dropping-particle" : "", "family" : "Kahlmeier", "given" : "Sonja", "non-dropping-particle" : "", "parse-names" : false, "suffix" : "" }, { "dropping-particle" : "", "family" : "Laeremans", "given" : "Michelle", "non-dropping-particle" : "", "parse-names" : false, "suffix" : "" }, { "dropping-particle" : "", "family" : "Mueller", "given" : "Natalie", "non-dropping-particle" : "", "parse-names" : false, "suffix" : "" }, { "dropping-particle" : "", "family" : "Orjuela", "given" : "Juan Pablo", "non-dropping-particle" : "", "parse-names" : false, "suffix" : "" }, { "dropping-particle" : "", "family" : "Racioppi", "given" : "Francesca", "non-dropping-particle" : "", "parse-names" : false, "suffix" : "" }, { "dropping-particle" : "", "family" : "Raser", "given" : "Elisabeth", "non-dropping-particle" : "", "parse-names" : false, "suffix" : "" }, { "dropping-particle" : "", "family" : "Rojas-Rueda", "given" : "David", "non-dropping-particle" : "", "parse-names" : false, "suffix" : "" }, { "dropping-particle" : "", "family" : "Schweizer", "given" : "Christian", "non-dropping-particle" : "", "parse-names" : false, "suffix" : "" }, { "dropping-particle" : "", "family" : "Standaert", "given" : "Arnout", "non-dropping-particle" : "", "parse-names" : false, "suffix" : "" }, { "dropping-particle" : "", "family" : "Uhlmann", "given" : "Tina", "non-dropping-particle" : "", "parse-names" : false, "suffix" : "" }, { "dropping-particle" : "", "family" : "Wegener", "given" : "Sandra", "non-dropping-particle" : "", "parse-names" : false, "suffix" : "" }, { "dropping-particle" : "", "family" : "G\u00f6tschi", "given" : "Thomas", "non-dropping-particle" : "", "parse-names" : false, "suffix" : "" } ], "container-title" : "BMJ Open", "id" : "ITEM-1", "issue" : "1", "issued" : { "date-parts" : [ [ "2016", "1", "7" ] ] }, "note" : "Bmj Open Bmj Open\nISI:000369993900146; Dd5Vx; Times Cited:1; Cited References Count:59", "page" : "e009924", "title" : "Physical Activity through Sustainable Transport Approaches (PASTA): a study protocol for a multicentre project", "type" : "article-journal", "volume" : "6" }, "uris" : [ "http://www.mendeley.com/documents/?uuid=159cfb9e-23e3-49d8-9a78-330d648545b0" ] }, { "id" : "ITEM-2", "itemData" : { "DOI" : "10.1080/01402390701210848", "ISSN" : "0140-2390", "PMID" : "2376", "abstract" : "This article considers the way in which a military force committed to a 'stabilization' operation can, through its own mistakes, actually make that mission much more difficult than it need be. The British Army was committed to a peace support task in Northern Ireland in 1969 but the errors made by those within its ranks went a long way in moving that task away from one of peace support to one of countering a fully fledged insurgency. Through an examination of the clumsiness displayed by the British Army in Northern Ireland in its initial period of deployment (August 1969 - March 1972) several parallels can be drawn with events recently in Iraq. What is more, fundamental lessons can be learnt from the British experience. These lessons still have relevance today as the West continues to commit forces to interventionary operations; forces which are making the same mistakes the British Army did nearly 40 years ago.", "author" : [ { "dropping-particle" : "", "family" : "Thornton", "given" : "Rod", "non-dropping-particle" : "", "parse-names" : false, "suffix" : "" } ], "container-title" : "Journal of Strategic Studies", "id" : "ITEM-2", "issue" : "1", "issued" : { "date-parts" : [ [ "2007", "2", "22" ] ] }, "note" : "J Strategic Stud J Strategic Stud\nISI:000245984700004; 160ZS; Times Cited:9; Cited References Count:56", "page" : "73-107", "title" : "Getting it Wrong: The Crucial Mistakes Made in the Early Stages of the British Army's Deployment to Northern Ireland (August 1969 to March 1972)", "type" : "article-journal", "volume" : "30" }, "uris" : [ "http://www.mendeley.com/documents/?uuid=6b81bdd3-075f-4764-800e-a2f768226a78" ] } ], "mendeley" : { "formattedCitation" : "(Gerike et al., 2016; Thornton, 2007)", "plainTextFormattedCitation" : "(Gerike et al., 2016; Thornton, 2007)", "previouslyFormattedCitation" : "(Gerike et al., 2016; Thornton, 2007)" }, "properties" : { "noteIndex" : 0 }, "schema" : "https://github.com/citation-style-language/schema/raw/master/csl-citation.json" }</w:instrText>
      </w:r>
      <w:r w:rsidR="00A30D59">
        <w:fldChar w:fldCharType="separate"/>
      </w:r>
      <w:r w:rsidR="00A30D59" w:rsidRPr="00A30D59">
        <w:rPr>
          <w:noProof/>
        </w:rPr>
        <w:t>(Gerike et al., 2016; Thornton, 2007)</w:t>
      </w:r>
      <w:r w:rsidR="00A30D59">
        <w:fldChar w:fldCharType="end"/>
      </w:r>
    </w:p>
    <w:p w14:paraId="23599178" w14:textId="2087D06C" w:rsidR="00F1537E" w:rsidRPr="00A30D59" w:rsidRDefault="00CC1DA7" w:rsidP="000B02C5">
      <w:pPr>
        <w:pStyle w:val="Heading2"/>
        <w:spacing w:line="480" w:lineRule="auto"/>
        <w:rPr>
          <w:color w:val="auto"/>
        </w:rPr>
      </w:pPr>
      <w:r w:rsidRPr="00A30D59">
        <w:rPr>
          <w:color w:val="auto"/>
        </w:rPr>
        <w:t xml:space="preserve">Data and </w:t>
      </w:r>
      <w:r w:rsidR="00F1537E" w:rsidRPr="00A30D59">
        <w:rPr>
          <w:color w:val="auto"/>
        </w:rPr>
        <w:t xml:space="preserve">Methods </w:t>
      </w:r>
    </w:p>
    <w:p w14:paraId="354E3D0E" w14:textId="5C16FD31" w:rsidR="00500E6F" w:rsidRDefault="00842964" w:rsidP="000B02C5">
      <w:pPr>
        <w:spacing w:line="480" w:lineRule="auto"/>
      </w:pPr>
      <w:r w:rsidRPr="00A30D59">
        <w:t>Data on all-cause mortality and population size, disaggregated by gender, age in single years and year</w:t>
      </w:r>
      <w:r>
        <w:t xml:space="preserve">, were extracted from the Human Mortality Database (HMD). </w:t>
      </w:r>
      <w:r w:rsidR="006D095E">
        <w:fldChar w:fldCharType="begin" w:fldLock="1"/>
      </w:r>
      <w:r w:rsidR="006D095E">
        <w:instrText>ADDIN CSL_CITATION { "citationItems" : [ { "id" : "ITEM-1", "itemData" : { "URL" : "www.mortality.org", "accessed" : { "date-parts" : [ [ "2017", "6", "13" ] ] }, "author" : [ { "dropping-particle" : "", "family" : "University of California", "given" : "Berkeley (USA); Max Plank Institute for Demographic Research (Germany)", "non-dropping-particle" : "", "parse-names" : false, "suffix" : "" } ], "id" : "ITEM-1", "issued" : { "date-parts" : [ [ "2017" ] ] }, "title" : "Human Mortality Database", "type" : "webpage" }, "uris" : [ "http://www.mendeley.com/documents/?uuid=58f3b93d-f91e-4ac6-a981-7aa46d2d4863" ] } ], "mendeley" : { "formattedCitation" : "(University of California, 2017)", "plainTextFormattedCitation" : "(University of California, 2017)", "previouslyFormattedCitation" : "(University of California, 2017)" }, "properties" : { "noteIndex" : 0 }, "schema" : "https://github.com/citation-style-language/schema/raw/master/csl-citation.json" }</w:instrText>
      </w:r>
      <w:r w:rsidR="006D095E">
        <w:fldChar w:fldCharType="separate"/>
      </w:r>
      <w:r w:rsidR="006D095E" w:rsidRPr="006D095E">
        <w:rPr>
          <w:noProof/>
        </w:rPr>
        <w:t>(University of California, 2017)</w:t>
      </w:r>
      <w:r w:rsidR="006D095E">
        <w:fldChar w:fldCharType="end"/>
      </w:r>
      <w:r w:rsidR="006D095E">
        <w:t xml:space="preserve"> </w:t>
      </w:r>
      <w:r>
        <w:t xml:space="preserve">Mortality rates were calculated by dividing death counts by population exposure (adjusted population counts). </w:t>
      </w:r>
      <w:r w:rsidR="00500E6F">
        <w:t xml:space="preserve">All data management and analyses were performed using the R statistical programming environment. </w:t>
      </w:r>
      <w:r w:rsidR="006D095E">
        <w:fldChar w:fldCharType="begin" w:fldLock="1"/>
      </w:r>
      <w:r w:rsidR="006D095E">
        <w:instrText>ADDIN CSL_CITATION { "citationItems" : [ { "id" : "ITEM-1", "itemData" : { "author" : [ { "dropping-particle" : "", "family" : "R Core Team", "given" : "", "non-dropping-particle" : "", "parse-names" : false, "suffix" : "" } ], "id" : "ITEM-1", "issued" : { "date-parts" : [ [ "2016" ] ] }, "number" : "3.3.0", "publisher" : "Foundation for Statistical Computing,", "publisher-place" : "Vienna, Austria", "title" : "R: A language and environment for statistical computing", "type" : "article" }, "uris" : [ "http://www.mendeley.com/documents/?uuid=4e7b17cd-0633-4dae-9200-f8d0ec01c485" ] } ], "mendeley" : { "formattedCitation" : "(R Core Team, 2016)", "plainTextFormattedCitation" : "(R Core Team, 2016)", "previouslyFormattedCitation" : "(R Core Team, 2016)" }, "properties" : { "noteIndex" : 0 }, "schema" : "https://github.com/citation-style-language/schema/raw/master/csl-citation.json" }</w:instrText>
      </w:r>
      <w:r w:rsidR="006D095E">
        <w:fldChar w:fldCharType="separate"/>
      </w:r>
      <w:r w:rsidR="006D095E" w:rsidRPr="006D095E">
        <w:rPr>
          <w:noProof/>
        </w:rPr>
        <w:t>(R Core Team, 2016)</w:t>
      </w:r>
      <w:r w:rsidR="006D095E">
        <w:fldChar w:fldCharType="end"/>
      </w:r>
    </w:p>
    <w:p w14:paraId="3AE0F486" w14:textId="0831D0B7" w:rsidR="00500E6F" w:rsidRDefault="00500E6F" w:rsidP="000B02C5">
      <w:pPr>
        <w:spacing w:line="480" w:lineRule="auto"/>
      </w:pPr>
      <w:r>
        <w:t>In the first stage of the analysis</w:t>
      </w:r>
      <w:r w:rsidR="00842964">
        <w:t>, mortality rates by age and year were explored visually using level</w:t>
      </w:r>
      <w:r>
        <w:t xml:space="preserve"> </w:t>
      </w:r>
      <w:r w:rsidR="00842964">
        <w:t xml:space="preserve">plots in which each column is a different year, each row a different age, and each cell is a mortality rate </w:t>
      </w:r>
      <w:r>
        <w:t xml:space="preserve">or log mortality rate </w:t>
      </w:r>
      <w:r w:rsidR="00842964">
        <w:t xml:space="preserve">for a specific </w:t>
      </w:r>
      <w:r>
        <w:t xml:space="preserve">combination of year and age in single years. This arrangement is known as a Lexis surface. </w:t>
      </w:r>
      <w:r w:rsidR="006D095E">
        <w:fldChar w:fldCharType="begin" w:fldLock="1"/>
      </w:r>
      <w:r w:rsidR="00A96270">
        <w:instrText>ADDIN CSL_CITATION { "citationItems" : [ { "id" : "ITEM-1",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\u00a9 2014 Elsevier Ltd.", "author" : [ { "dropping-particle" : "", "family" : "Minton", "given" : "Jonathan", "non-dropping-particle" : "", "parse-names" : false, "suffix" : "" } ], "container-title" : "Spatial and Spatio-temporal Epidemiology", "id" : "ITEM-1", "issued" : { "date-parts" : [ [ "2014" ] ] }, "page" : "49-66", "title" : "Real geographies and virtual landscapes: Exploring the influence on place and space on mortality Lexis surfaces using shaded contour maps", "type" : "article-journal", "volume" : "10" }, "uris" : [ "http://www.mendeley.com/documents/?uuid=bf336db6-b374-4b11-bea8-b2772f74d9f8" ] }, { "id" : "ITEM-2", "itemData" : { "ISBN" : "8778383382", "author" : [ { "dropping-particle" : "", "family" : "Vaupel", "given" : "J. W.", "non-dropping-particle" : "", "parse-names" : false, "suffix" : "" }, { "dropping-particle" : "", "family" : "Wang", "given" : "Z.", "non-dropping-particle" : "", "parse-names" : false, "suffix" : "" }, { "dropping-particle" : "", "family" : "Andreev", "given" : "K.", "non-dropping-particle" : "", "parse-names" : false, "suffix" : "" }, { "dropping-particle" : "", "family" : "Yashin", "given" : "A. I.", "non-dropping-particle" : "", "parse-names" : false, "suffix" : "" } ], "collection-title" : "Odense Monographis on Population Ageing", "id" : "ITEM-2", "issued" : { "date-parts" : [ [ "1997" ] ] }, "number" : "Volume Four", "publisher" : "University Press of Southern Denmark", "title" : "Population Data at a Glance: Shaded Contour Maps of Demographic Surfaces over Age and Time", "type" : "book" }, "uris" : [ "http://www.mendeley.com/documents/?uuid=84ac875b-72f1-4685-87d8-5a5f233468cc" ] } ], "mendeley" : { "formattedCitation" : "(Jonathan Minton, 2014; Vaupel, Wang, Andreev, &amp; Yashin, 1997)", "plainTextFormattedCitation" : "(Jonathan Minton, 2014; Vaupel, Wang, Andreev, &amp; Yashin, 1997)", "previouslyFormattedCitation" : "(Jonathan Minton, 2014; Vaupel, Wang, Andreev, &amp; Yashin, 1997)" }, "properties" : { "noteIndex" : 0 }, "schema" : "https://github.com/citation-style-language/schema/raw/master/csl-citation.json" }</w:instrText>
      </w:r>
      <w:r w:rsidR="006D095E">
        <w:fldChar w:fldCharType="separate"/>
      </w:r>
      <w:r w:rsidR="009140E4" w:rsidRPr="009140E4">
        <w:rPr>
          <w:noProof/>
        </w:rPr>
        <w:t>(Jonathan Minton, 2014; Vaupel, Wang, Andreev, &amp; Yashin, 1997)</w:t>
      </w:r>
      <w:r w:rsidR="006D095E">
        <w:fldChar w:fldCharType="end"/>
      </w:r>
    </w:p>
    <w:p w14:paraId="3E2E73E6" w14:textId="180EF47D" w:rsidR="00F1537E" w:rsidRDefault="00500E6F" w:rsidP="000B02C5">
      <w:pPr>
        <w:spacing w:line="480" w:lineRule="auto"/>
      </w:pPr>
      <w:r>
        <w:t xml:space="preserve">In the second stage of the analysis, level plots for males aged between 15 and 45 years inclusive </w:t>
      </w:r>
      <w:r w:rsidR="0049186E">
        <w:t xml:space="preserve">were </w:t>
      </w:r>
      <w:r>
        <w:t>pr</w:t>
      </w:r>
      <w:r w:rsidR="0049186E">
        <w:t xml:space="preserve">oduced. This gender and age range was focused on as </w:t>
      </w:r>
      <w:r>
        <w:t>a mortality pattern that appears attributable to the conflict post 1972 appears very clearly</w:t>
      </w:r>
      <w:r w:rsidR="0049186E">
        <w:t xml:space="preserve"> for this group</w:t>
      </w:r>
      <w:r>
        <w:t xml:space="preserve">, whereas in females and males at other ages no similar pattern is apparent. </w:t>
      </w:r>
    </w:p>
    <w:p w14:paraId="498E5C27" w14:textId="37896B20" w:rsidR="0049186E" w:rsidRDefault="0049186E" w:rsidP="000B02C5">
      <w:pPr>
        <w:spacing w:line="480" w:lineRule="auto"/>
      </w:pPr>
      <w:r>
        <w:t>In the third stage of the analysis, a model was developed which aims to reproduce the main features of the level plot of mortality values over this Lexis surface, in which conflict-attributable pattern of excess deaths is modelled as a separate variable. The final model specification was developed by comparing the penalised model fit of different model specifications using AIC and BIC, as well as t</w:t>
      </w:r>
      <w:r w:rsidR="006D78AC">
        <w:t xml:space="preserve">he root mean square (RMS) error, and by visually exploring both the Lexis surfaces of predicted values, and of residuals (differences between predicted and actual values) to assess whether the model </w:t>
      </w:r>
      <w:r w:rsidR="006D78AC">
        <w:lastRenderedPageBreak/>
        <w:t xml:space="preserve">appears to capture the most salient features of the Lexis surface of the data itself. </w:t>
      </w:r>
      <w:r w:rsidR="006D095E">
        <w:fldChar w:fldCharType="begin" w:fldLock="1"/>
      </w:r>
      <w:r w:rsidR="009140E4">
        <w:instrText>ADDIN CSL_CITATION { "citationItems" : [ { "id" : "ITEM-1", "itemData" : { "DOI" : "10.1109/TAC.1974.1100705", "ISSN" : "0018-9286", "author" : [ { "dropping-particle" : "", "family" : "Akaike", "given" : "H.", "non-dropping-particle" : "", "parse-names" : false, "suffix" : "" } ], "container-title" : "IEEE Transactions on Automatic Control", "id" : "ITEM-1", "issue" : "6", "issued" : { "date-parts" : [ [ "1974", "12" ] ] }, "page" : "716-723", "title" : "A new look at the statistical model identification", "type" : "article-journal", "volume" : "19" }, "uris" : [ "http://www.mendeley.com/documents/?uuid=e8164473-8c0b-4256-b6eb-b7b40a4a26d4" ] } ], "mendeley" : { "formattedCitation" : "(Akaike, 1974)", "plainTextFormattedCitation" : "(Akaike, 1974)", "previouslyFormattedCitation" : "(Akaike, 1974)" }, "properties" : { "noteIndex" : 0 }, "schema" : "https://github.com/citation-style-language/schema/raw/master/csl-citation.json" }</w:instrText>
      </w:r>
      <w:r w:rsidR="006D095E">
        <w:fldChar w:fldCharType="separate"/>
      </w:r>
      <w:r w:rsidR="006D095E" w:rsidRPr="006D095E">
        <w:rPr>
          <w:noProof/>
        </w:rPr>
        <w:t>(Akaike, 1974)</w:t>
      </w:r>
      <w:r w:rsidR="006D095E">
        <w:fldChar w:fldCharType="end"/>
      </w:r>
      <w:r w:rsidR="006D095E">
        <w:t xml:space="preserve"> </w:t>
      </w:r>
      <w:r w:rsidR="006D78AC">
        <w:t xml:space="preserve">The </w:t>
      </w:r>
      <w:r w:rsidR="005D4F12">
        <w:t>model specification is as follows</w:t>
      </w:r>
      <w:r w:rsidR="007029A2">
        <w:t>:</w:t>
      </w:r>
    </w:p>
    <w:p w14:paraId="39394AFF" w14:textId="69EBFFF6" w:rsidR="005D4F12" w:rsidRPr="005D4F12" w:rsidRDefault="00044023" w:rsidP="000B02C5">
      <w:pPr>
        <w:spacing w:line="480" w:lineRule="auto"/>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0, i</m:t>
              </m:r>
            </m:sub>
            <m:sup>
              <m:d>
                <m:dPr>
                  <m:ctrlPr>
                    <w:rPr>
                      <w:rFonts w:ascii="Cambria Math" w:hAnsi="Cambria Math"/>
                      <w:i/>
                    </w:rPr>
                  </m:ctrlPr>
                </m:dPr>
                <m:e>
                  <m:r>
                    <w:rPr>
                      <w:rFonts w:ascii="Cambria Math" w:hAnsi="Cambria Math"/>
                    </w:rPr>
                    <m:t>P</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1, i</m:t>
              </m:r>
            </m:sub>
            <m:sup>
              <m:d>
                <m:dPr>
                  <m:ctrlPr>
                    <w:rPr>
                      <w:rFonts w:ascii="Cambria Math" w:hAnsi="Cambria Math"/>
                      <w:i/>
                    </w:rPr>
                  </m:ctrlPr>
                </m:dPr>
                <m:e>
                  <m:r>
                    <w:rPr>
                      <w:rFonts w:ascii="Cambria Math" w:hAnsi="Cambria Math"/>
                    </w:rPr>
                    <m:t>P</m:t>
                  </m:r>
                </m:e>
              </m:d>
            </m:sup>
          </m:sSubSup>
          <m:sSup>
            <m:sSupPr>
              <m:ctrlPr>
                <w:rPr>
                  <w:rFonts w:ascii="Cambria Math" w:hAnsi="Cambria Math"/>
                  <w:i/>
                </w:rPr>
              </m:ctrlPr>
            </m:sSupPr>
            <m:e>
              <m:r>
                <w:rPr>
                  <w:rFonts w:ascii="Cambria Math" w:hAnsi="Cambria Math"/>
                </w:rPr>
                <m:t>t</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2,i</m:t>
              </m:r>
            </m:sub>
          </m:sSub>
          <m:r>
            <w:rPr>
              <w:rFonts w:ascii="Cambria Math" w:hAnsi="Cambria Math"/>
            </w:rPr>
            <m:t>T</m:t>
          </m:r>
          <m:d>
            <m:dPr>
              <m:ctrlPr>
                <w:rPr>
                  <w:rFonts w:ascii="Cambria Math" w:hAnsi="Cambria Math"/>
                  <w:i/>
                </w:rPr>
              </m:ctrlPr>
            </m:dPr>
            <m:e>
              <m:r>
                <w:rPr>
                  <w:rFonts w:ascii="Cambria Math" w:hAnsi="Cambria Math"/>
                </w:rPr>
                <m:t>t</m:t>
              </m:r>
            </m:e>
          </m:d>
        </m:oMath>
      </m:oMathPara>
    </w:p>
    <w:p w14:paraId="158813DC" w14:textId="29B86CB8" w:rsidR="005D4F12" w:rsidRPr="005D4F12" w:rsidRDefault="005D4F12" w:rsidP="000B02C5">
      <w:pPr>
        <w:spacing w:line="480" w:lineRule="auto"/>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(t-1972)</m:t>
              </m:r>
            </m:sup>
          </m:sSup>
          <m:r>
            <w:rPr>
              <w:rFonts w:ascii="Cambria Math" w:eastAsiaTheme="minorEastAsia" w:hAnsi="Cambria Math"/>
            </w:rPr>
            <m:t xml:space="preserve"> IFF t≥1972;0 otherwise</m:t>
          </m:r>
        </m:oMath>
      </m:oMathPara>
    </w:p>
    <w:p w14:paraId="6DC7AAC5" w14:textId="77777777" w:rsidR="007B2477" w:rsidRDefault="007029A2" w:rsidP="000B02C5">
      <w:pPr>
        <w:spacing w:line="480" w:lineRule="auto"/>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indicates the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oMath>
      <w:r>
        <w:rPr>
          <w:rFonts w:eastAsiaTheme="minorEastAsia"/>
        </w:rPr>
        <w:t xml:space="preserve"> mortality rate for males of age </w:t>
      </w:r>
      <m:oMath>
        <m:r>
          <w:rPr>
            <w:rFonts w:ascii="Cambria Math" w:hAnsi="Cambria Math"/>
          </w:rPr>
          <m:t>i</m:t>
        </m:r>
      </m:oMath>
      <w:r>
        <w:rPr>
          <w:rFonts w:eastAsiaTheme="minorEastAsia"/>
        </w:rPr>
        <w:t xml:space="preserve"> in year </w:t>
      </w:r>
      <m:oMath>
        <m:r>
          <w:rPr>
            <w:rFonts w:ascii="Cambria Math" w:hAnsi="Cambria Math"/>
          </w:rPr>
          <m:t>t</m:t>
        </m:r>
      </m:oMath>
      <w:r>
        <w:rPr>
          <w:rFonts w:eastAsiaTheme="minorEastAsia"/>
        </w:rPr>
        <w:t xml:space="preserve">, the superscript </w:t>
      </w:r>
      <m:oMath>
        <m:d>
          <m:dPr>
            <m:ctrlPr>
              <w:rPr>
                <w:rFonts w:ascii="Cambria Math" w:hAnsi="Cambria Math"/>
                <w:i/>
              </w:rPr>
            </m:ctrlPr>
          </m:dPr>
          <m:e>
            <m:r>
              <w:rPr>
                <w:rFonts w:ascii="Cambria Math" w:hAnsi="Cambria Math"/>
              </w:rPr>
              <m:t>P</m:t>
            </m:r>
          </m:e>
        </m:d>
      </m:oMath>
      <w:r>
        <w:rPr>
          <w:rFonts w:eastAsiaTheme="minorEastAsia"/>
        </w:rPr>
        <w:t xml:space="preserve"> indicates which of three distinct phases in mortality improvement to which year </w:t>
      </w:r>
      <m:oMath>
        <m:r>
          <w:rPr>
            <w:rFonts w:ascii="Cambria Math" w:hAnsi="Cambria Math"/>
          </w:rPr>
          <m:t>t</m:t>
        </m:r>
      </m:oMath>
      <w:r>
        <w:rPr>
          <w:rFonts w:eastAsiaTheme="minorEastAsia"/>
        </w:rPr>
        <w:t xml:space="preserve"> belongs, and </w:t>
      </w:r>
      <m:oMath>
        <m:sSup>
          <m:sSupPr>
            <m:ctrlPr>
              <w:rPr>
                <w:rFonts w:ascii="Cambria Math" w:hAnsi="Cambria Math"/>
                <w:i/>
              </w:rPr>
            </m:ctrlPr>
          </m:sSupPr>
          <m:e>
            <m:r>
              <w:rPr>
                <w:rFonts w:ascii="Cambria Math" w:hAnsi="Cambria Math"/>
              </w:rPr>
              <m:t>t</m:t>
            </m:r>
          </m:e>
          <m:sup>
            <m:r>
              <w:rPr>
                <w:rFonts w:ascii="Cambria Math" w:hAnsi="Cambria Math"/>
              </w:rPr>
              <m:t>(P)</m:t>
            </m:r>
          </m:sup>
        </m:sSup>
      </m:oMath>
      <w:r>
        <w:rPr>
          <w:rFonts w:eastAsiaTheme="minorEastAsia"/>
        </w:rPr>
        <w:t xml:space="preserve"> indicates the number of years since the start of the mortality improvement phase to which year </w:t>
      </w:r>
      <m:oMath>
        <m:r>
          <w:rPr>
            <w:rFonts w:ascii="Cambria Math" w:hAnsi="Cambria Math"/>
          </w:rPr>
          <m:t>t</m:t>
        </m:r>
      </m:oMath>
      <w:r>
        <w:rPr>
          <w:rFonts w:eastAsiaTheme="minorEastAsia"/>
        </w:rPr>
        <w:t xml:space="preserve"> belongs. </w:t>
      </w:r>
      <w:r w:rsidR="007B2477">
        <w:rPr>
          <w:rFonts w:eastAsiaTheme="minorEastAsia"/>
        </w:rPr>
        <w:t xml:space="preserve">The three mortality improvement phases, identified through visual exploration of the Lexis surfaces, are: Phase One: 1922 to 1938 inclusive; Phase Two: 1939 to 1955 inclusive; and Phase Three: 1956 and later. Within these three phases, the rate of age specific mortality improvement tended to be greatest in Phase Two (1939 to 1955), despite this period including World War Two. </w:t>
      </w:r>
    </w:p>
    <w:p w14:paraId="4E69A5E8" w14:textId="54E93EC7" w:rsidR="005D4F12" w:rsidRDefault="007029A2" w:rsidP="000B02C5">
      <w:pPr>
        <w:spacing w:line="480" w:lineRule="auto"/>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roofErr w:type="gramStart"/>
      <w:r>
        <w:rPr>
          <w:rFonts w:eastAsiaTheme="minorEastAsia"/>
        </w:rPr>
        <w:t>is</w:t>
      </w:r>
      <w:proofErr w:type="gramEnd"/>
      <w:r>
        <w:rPr>
          <w:rFonts w:eastAsiaTheme="minorEastAsia"/>
        </w:rPr>
        <w:t xml:space="preserve"> the function which models the mortality effect of the conflict. It assumes that the additional mortality effect is greatest in the first year of the conflict, then decays exponentially with each subsequent year. The rate of decay in additional mortality is modelled using the </w:t>
      </w:r>
      <w:proofErr w:type="gramStart"/>
      <w:r>
        <w:rPr>
          <w:rFonts w:eastAsiaTheme="minorEastAsia"/>
        </w:rPr>
        <w:t xml:space="preserve">parameter </w:t>
      </w:r>
      <w:proofErr w:type="gramEnd"/>
      <m:oMath>
        <m:r>
          <w:rPr>
            <w:rFonts w:ascii="Cambria Math" w:eastAsiaTheme="minorEastAsia" w:hAnsi="Cambria Math"/>
          </w:rPr>
          <m:t>k</m:t>
        </m:r>
      </m:oMath>
      <w:r w:rsidR="007B2477">
        <w:rPr>
          <w:rFonts w:eastAsiaTheme="minorEastAsia"/>
        </w:rPr>
        <w:t>, and can have any value from 0 to 1 inclusive</w:t>
      </w:r>
      <w:r>
        <w:rPr>
          <w:rFonts w:eastAsiaTheme="minorEastAsia"/>
        </w:rPr>
        <w:t xml:space="preserve">. In the fourth phase of the analysis, </w:t>
      </w:r>
      <w:r w:rsidR="007B2477">
        <w:rPr>
          <w:rFonts w:eastAsiaTheme="minorEastAsia"/>
        </w:rPr>
        <w:t xml:space="preserve">numerical optimisation is used to select k such that AIC (penalised model fit) is minimised. Given </w:t>
      </w:r>
      <m:oMath>
        <m:r>
          <w:rPr>
            <w:rFonts w:ascii="Cambria Math" w:eastAsiaTheme="minorEastAsia" w:hAnsi="Cambria Math"/>
          </w:rPr>
          <m:t>k</m:t>
        </m:r>
      </m:oMath>
      <w:r w:rsidR="000E2BEA">
        <w:rPr>
          <w:rFonts w:eastAsiaTheme="minorEastAsia"/>
        </w:rPr>
        <w:t>, the ‘half life’ of the conflict, i.e. number of years it takes for the additional</w:t>
      </w:r>
      <w:r w:rsidR="00B03DB4">
        <w:rPr>
          <w:rFonts w:eastAsiaTheme="minorEastAsia"/>
        </w:rPr>
        <w:t xml:space="preserve"> log</w:t>
      </w:r>
      <w:r w:rsidR="000E2BEA">
        <w:rPr>
          <w:rFonts w:eastAsiaTheme="minorEastAsia"/>
        </w:rPr>
        <w:t xml:space="preserve"> mortality risk to fall by half, can also be calculated using the formula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(1-k)</m:t>
                </m:r>
              </m:e>
            </m:func>
          </m:den>
        </m:f>
      </m:oMath>
      <w:r w:rsidR="000E2BEA">
        <w:rPr>
          <w:rFonts w:eastAsiaTheme="minorEastAsia"/>
        </w:rPr>
        <w:t xml:space="preserve">. </w:t>
      </w:r>
    </w:p>
    <w:p w14:paraId="627D9036" w14:textId="6DA083EE" w:rsidR="007B2477" w:rsidRPr="00A30D59" w:rsidRDefault="007B2477" w:rsidP="000B02C5">
      <w:pPr>
        <w:spacing w:line="480" w:lineRule="auto"/>
        <w:rPr>
          <w:rFonts w:eastAsiaTheme="minorEastAsia"/>
        </w:rPr>
      </w:pPr>
      <w:r>
        <w:rPr>
          <w:rFonts w:eastAsiaTheme="minorEastAsia"/>
        </w:rPr>
        <w:t xml:space="preserve">Finally, in the fifth phase of the analysis, the numbers of deaths at each age and in each year are estimated by applying the model’s predicted mortality risks to the populations exposed to these </w:t>
      </w:r>
      <w:r w:rsidR="000E2BEA">
        <w:rPr>
          <w:rFonts w:eastAsiaTheme="minorEastAsia"/>
        </w:rPr>
        <w:t>risks</w:t>
      </w:r>
      <w:r w:rsidR="00C371AF">
        <w:rPr>
          <w:rFonts w:eastAsiaTheme="minorEastAsia"/>
        </w:rPr>
        <w:t>, i.e</w:t>
      </w:r>
      <w:proofErr w:type="gramStart"/>
      <w:r w:rsidR="00C371AF">
        <w:rPr>
          <w:rFonts w:eastAsiaTheme="minorEastAsia"/>
        </w:rPr>
        <w:t xml:space="preserve">. </w:t>
      </w:r>
      <w:proofErr w:type="gramEnd"/>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A</m:t>
                </m:r>
              </m:sup>
            </m:sSubSup>
            <m:d>
              <m:dPr>
                <m:ctrlPr>
                  <w:rPr>
                    <w:rFonts w:ascii="Cambria Math" w:eastAsiaTheme="minorEastAsia" w:hAnsi="Cambria Math"/>
                    <w:i/>
                  </w:rPr>
                </m:ctrlPr>
              </m:dPr>
              <m:e>
                <m:r>
                  <w:rPr>
                    <w:rFonts w:ascii="Cambria Math" w:eastAsiaTheme="minorEastAsia" w:hAnsi="Cambria Math"/>
                  </w:rPr>
                  <m:t>t</m:t>
                </m:r>
              </m:e>
            </m:d>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C371AF">
        <w:rPr>
          <w:rFonts w:eastAsiaTheme="minorEastAsia"/>
        </w:rPr>
        <w:t xml:space="preserve">, where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(t)</m:t>
        </m:r>
      </m:oMath>
      <w:r w:rsidR="00C371AF">
        <w:rPr>
          <w:rFonts w:eastAsiaTheme="minorEastAsia"/>
        </w:rPr>
        <w:t xml:space="preserve"> is the number of deaths at age</w:t>
      </w:r>
      <m:oMath>
        <m:r>
          <w:rPr>
            <w:rFonts w:ascii="Cambria Math" w:eastAsiaTheme="minorEastAsia" w:hAnsi="Cambria Math"/>
          </w:rPr>
          <m:t xml:space="preserve"> i</m:t>
        </m:r>
      </m:oMath>
      <w:r w:rsidR="00C371AF">
        <w:rPr>
          <w:rFonts w:eastAsiaTheme="minorEastAsia"/>
        </w:rPr>
        <w:t xml:space="preserve"> and in year </w:t>
      </w:r>
      <m:oMath>
        <m:r>
          <w:rPr>
            <w:rFonts w:ascii="Cambria Math" w:eastAsiaTheme="minorEastAsia" w:hAnsi="Cambria Math"/>
          </w:rPr>
          <m:t>t</m:t>
        </m:r>
      </m:oMath>
      <w:r w:rsidR="00C371AF">
        <w:rPr>
          <w:rFonts w:eastAsiaTheme="minorEastAsia"/>
        </w:rPr>
        <w:t xml:space="preserve"> under the active conflict scenario A,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C371AF">
        <w:rPr>
          <w:rFonts w:eastAsiaTheme="minorEastAsia"/>
        </w:rPr>
        <w:t xml:space="preserve"> indicates the size of the population at this age and in this </w:t>
      </w:r>
      <w:r w:rsidR="00C371AF" w:rsidRPr="00A30D59">
        <w:rPr>
          <w:rFonts w:eastAsiaTheme="minorEastAsia"/>
        </w:rPr>
        <w:t>year exposed to the mortality risk</w:t>
      </w:r>
      <w:r w:rsidR="000E2BEA" w:rsidRPr="00A30D59">
        <w:rPr>
          <w:rFonts w:eastAsiaTheme="minorEastAsia"/>
        </w:rPr>
        <w:t xml:space="preserve">. A counterfactual surface of risks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(t)</m:t>
        </m:r>
      </m:oMath>
      <w:r w:rsidR="00C371AF" w:rsidRPr="00A30D59">
        <w:rPr>
          <w:rFonts w:eastAsiaTheme="minorEastAsia"/>
        </w:rPr>
        <w:t xml:space="preserve"> </w:t>
      </w:r>
      <w:r w:rsidR="000E2BEA" w:rsidRPr="00A30D59">
        <w:rPr>
          <w:rFonts w:eastAsiaTheme="minorEastAsia"/>
        </w:rPr>
        <w:t xml:space="preserve">is modelled by setting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sidR="000E2BEA" w:rsidRPr="00A30D59">
        <w:rPr>
          <w:rFonts w:eastAsiaTheme="minorEastAsia"/>
        </w:rPr>
        <w:t xml:space="preserve"> to 0 in all years</w:t>
      </w:r>
      <w:r w:rsidR="00C371AF" w:rsidRPr="00A30D59">
        <w:rPr>
          <w:rFonts w:eastAsiaTheme="minorEastAsia"/>
        </w:rPr>
        <w:t xml:space="preserve">. The total number of conflict-attributable deaths estimated by the model in this </w:t>
      </w:r>
      <w:r w:rsidR="00C371AF" w:rsidRPr="00A30D59">
        <w:rPr>
          <w:rFonts w:eastAsiaTheme="minorEastAsia"/>
        </w:rPr>
        <w:lastRenderedPageBreak/>
        <w:t xml:space="preserve">age range is then </w:t>
      </w:r>
      <w:r w:rsidR="003726C0" w:rsidRPr="00A30D59">
        <w:rPr>
          <w:rFonts w:eastAsiaTheme="minorEastAsia"/>
        </w:rPr>
        <w:t xml:space="preserve">the sum of differences in deaths estimated under both scenarios, i.e. </w:t>
      </w:r>
      <m:oMath>
        <m:nary>
          <m:naryPr>
            <m:chr m:val="∑"/>
            <m:limLoc m:val="subSup"/>
            <m:ctrlPr>
              <w:rPr>
                <w:rFonts w:ascii="Cambria Math" w:eastAsiaTheme="minorEastAsia" w:hAnsi="Cambria Math"/>
                <w:i/>
              </w:rPr>
            </m:ctrlPr>
          </m:naryPr>
          <m:sub>
            <m:r>
              <w:rPr>
                <w:rFonts w:ascii="Cambria Math" w:eastAsiaTheme="minorEastAsia" w:hAnsi="Cambria Math"/>
              </w:rPr>
              <m:t>i=15</m:t>
            </m:r>
          </m:sub>
          <m:sup>
            <m:r>
              <w:rPr>
                <w:rFonts w:ascii="Cambria Math" w:eastAsiaTheme="minorEastAsia" w:hAnsi="Cambria Math"/>
              </w:rPr>
              <m:t>45</m:t>
            </m:r>
          </m:sup>
          <m:e>
            <m:nary>
              <m:naryPr>
                <m:chr m:val="∑"/>
                <m:limLoc m:val="subSup"/>
                <m:ctrlPr>
                  <w:rPr>
                    <w:rFonts w:ascii="Cambria Math" w:eastAsiaTheme="minorEastAsia" w:hAnsi="Cambria Math"/>
                    <w:i/>
                  </w:rPr>
                </m:ctrlPr>
              </m:naryPr>
              <m:sub>
                <m:r>
                  <w:rPr>
                    <w:rFonts w:ascii="Cambria Math" w:eastAsiaTheme="minorEastAsia" w:hAnsi="Cambria Math"/>
                  </w:rPr>
                  <m:t>t=1922</m:t>
                </m:r>
              </m:sub>
              <m:sup>
                <m:r>
                  <w:rPr>
                    <w:rFonts w:ascii="Cambria Math" w:eastAsiaTheme="minorEastAsia" w:hAnsi="Cambria Math"/>
                  </w:rPr>
                  <m:t>2013</m:t>
                </m:r>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e>
            </m:nary>
          </m:e>
        </m:nary>
      </m:oMath>
      <w:r w:rsidR="003726C0" w:rsidRPr="00A30D59">
        <w:rPr>
          <w:rFonts w:eastAsiaTheme="minorEastAsia"/>
        </w:rPr>
        <w:t>.</w:t>
      </w:r>
      <w:r w:rsidR="000E2BEA" w:rsidRPr="00A30D59">
        <w:rPr>
          <w:rFonts w:eastAsiaTheme="minorEastAsia"/>
        </w:rPr>
        <w:t xml:space="preserve"> </w:t>
      </w:r>
    </w:p>
    <w:p w14:paraId="17210717" w14:textId="772DF6FD" w:rsidR="00F1537E" w:rsidRPr="00A30D59" w:rsidRDefault="00F1537E" w:rsidP="000B02C5">
      <w:pPr>
        <w:pStyle w:val="Heading2"/>
        <w:spacing w:line="480" w:lineRule="auto"/>
        <w:rPr>
          <w:color w:val="auto"/>
        </w:rPr>
      </w:pPr>
      <w:r w:rsidRPr="00A30D59">
        <w:rPr>
          <w:color w:val="auto"/>
        </w:rPr>
        <w:t xml:space="preserve">Results </w:t>
      </w:r>
    </w:p>
    <w:p w14:paraId="6FD58C1E" w14:textId="21CEA7A4" w:rsidR="00A33838" w:rsidRPr="003400A5" w:rsidRDefault="0029467E" w:rsidP="003400A5">
      <w:pPr>
        <w:pStyle w:val="Heading3"/>
        <w:rPr>
          <w:color w:val="auto"/>
        </w:rPr>
      </w:pPr>
      <w:r w:rsidRPr="003400A5">
        <w:rPr>
          <w:color w:val="auto"/>
        </w:rPr>
        <w:t xml:space="preserve">Visual exploration of patterns </w:t>
      </w:r>
    </w:p>
    <w:p w14:paraId="6919AA3C" w14:textId="7D593867" w:rsidR="00F1537E" w:rsidRDefault="00720800" w:rsidP="000B02C5">
      <w:pPr>
        <w:spacing w:line="480" w:lineRule="auto"/>
      </w:pPr>
      <w:r w:rsidRPr="00A30D59">
        <w:t>Figure 1 shows the Lexis surfaces of log</w:t>
      </w:r>
      <w:r w:rsidRPr="00A30D59">
        <w:softHyphen/>
      </w:r>
      <w:r w:rsidRPr="00A30D59">
        <w:rPr>
          <w:vertAlign w:val="subscript"/>
        </w:rPr>
        <w:t>10</w:t>
      </w:r>
      <w:r w:rsidRPr="00A30D59">
        <w:t xml:space="preserve"> mortality rates for both genders and for each age between </w:t>
      </w:r>
      <w:proofErr w:type="spellStart"/>
      <w:r w:rsidRPr="00A30D59">
        <w:t>newborns</w:t>
      </w:r>
      <w:proofErr w:type="spellEnd"/>
      <w:r w:rsidRPr="00A30D59">
        <w:t xml:space="preserve"> and 90 years. </w:t>
      </w:r>
      <w:r w:rsidR="006C78A1" w:rsidRPr="00A30D59">
        <w:t>C</w:t>
      </w:r>
      <w:r w:rsidRPr="00A30D59">
        <w:t xml:space="preserve">ells are coloured according </w:t>
      </w:r>
      <w:r>
        <w:t xml:space="preserve">to mortality rate. The legend on the right show which colours correspond </w:t>
      </w:r>
      <w:r w:rsidR="006D095E">
        <w:t xml:space="preserve">to </w:t>
      </w:r>
      <w:r>
        <w:t xml:space="preserve">which mortality values. </w:t>
      </w:r>
      <w:r w:rsidR="008D1A01">
        <w:t>T</w:t>
      </w:r>
      <w:r>
        <w:t>he values on this legend indicate the ‘number of zeros’ associated with the mortality risk</w:t>
      </w:r>
      <w:r w:rsidR="008D1A01">
        <w:t>, with ranges from</w:t>
      </w:r>
      <w:r>
        <w:t xml:space="preserve"> 10</w:t>
      </w:r>
      <w:r>
        <w:rPr>
          <w:vertAlign w:val="superscript"/>
        </w:rPr>
        <w:t>0</w:t>
      </w:r>
      <w:r>
        <w:rPr>
          <w:vertAlign w:val="subscript"/>
        </w:rPr>
        <w:t xml:space="preserve"> </w:t>
      </w:r>
      <w:r>
        <w:t>or 1.0 risk for light blue at the top, then to 10</w:t>
      </w:r>
      <w:r>
        <w:rPr>
          <w:vertAlign w:val="superscript"/>
        </w:rPr>
        <w:t>-1</w:t>
      </w:r>
      <w:r>
        <w:t xml:space="preserve"> (one in ten) for lighter green shades, 10</w:t>
      </w:r>
      <w:r>
        <w:rPr>
          <w:vertAlign w:val="superscript"/>
        </w:rPr>
        <w:t>-2</w:t>
      </w:r>
      <w:r>
        <w:t xml:space="preserve"> (one-in-100) for lighter reds, </w:t>
      </w:r>
      <w:r w:rsidR="008D1A01">
        <w:t xml:space="preserve">to  </w:t>
      </w:r>
      <w:r>
        <w:t>10</w:t>
      </w:r>
      <w:r>
        <w:rPr>
          <w:vertAlign w:val="superscript"/>
        </w:rPr>
        <w:t>-5</w:t>
      </w:r>
      <w:r>
        <w:t xml:space="preserve"> (one in a million) for the brown shade at the bottom of the scale. </w:t>
      </w:r>
    </w:p>
    <w:p w14:paraId="7B33BCBF" w14:textId="4E033F62" w:rsidR="00F60885" w:rsidRPr="00F60885" w:rsidRDefault="00F60885" w:rsidP="00F60885">
      <w:pPr>
        <w:spacing w:line="480" w:lineRule="auto"/>
        <w:jc w:val="center"/>
        <w:rPr>
          <w:i/>
        </w:rPr>
      </w:pPr>
      <w:r w:rsidRPr="00F60885">
        <w:rPr>
          <w:i/>
        </w:rPr>
        <w:t>[Figure 1 about here]</w:t>
      </w:r>
    </w:p>
    <w:p w14:paraId="4B45C0D3" w14:textId="3AE62CDD" w:rsidR="00F60885" w:rsidRPr="00F60885" w:rsidRDefault="00F60885" w:rsidP="00F60885">
      <w:pPr>
        <w:spacing w:line="480" w:lineRule="auto"/>
        <w:jc w:val="center"/>
        <w:rPr>
          <w:b/>
        </w:rPr>
      </w:pPr>
      <w:r w:rsidRPr="00F60885">
        <w:rPr>
          <w:b/>
        </w:rPr>
        <w:t xml:space="preserve">Figure 1 Caption: </w:t>
      </w:r>
      <w:proofErr w:type="spellStart"/>
      <w:r w:rsidRPr="00F60885">
        <w:rPr>
          <w:b/>
        </w:rPr>
        <w:t>Levelplot</w:t>
      </w:r>
      <w:proofErr w:type="spellEnd"/>
      <w:r w:rsidRPr="00F60885">
        <w:rPr>
          <w:b/>
        </w:rPr>
        <w:t xml:space="preserve"> of log</w:t>
      </w:r>
      <w:r w:rsidRPr="00F60885">
        <w:rPr>
          <w:b/>
          <w:vertAlign w:val="subscript"/>
        </w:rPr>
        <w:t>10</w:t>
      </w:r>
      <w:r w:rsidRPr="00F60885">
        <w:rPr>
          <w:b/>
        </w:rPr>
        <w:t xml:space="preserve"> mortality rates for males and females in Northern Ireland, 1922 to 2013. Cell colour indicates mortality risk. White cells indicate missing data. (Source: Human Mortality Database)</w:t>
      </w:r>
    </w:p>
    <w:p w14:paraId="1FF81ACE" w14:textId="0C682479" w:rsidR="00B447E0" w:rsidRDefault="00B447E0" w:rsidP="000B02C5">
      <w:pPr>
        <w:spacing w:line="480" w:lineRule="auto"/>
      </w:pPr>
      <w:r>
        <w:t xml:space="preserve">Figure 2 provides a stylised ‘pen portrait’ of some of the main features seen in figure 1. As with in many other countries, there is a much sharper increase in mortality risk once males reach adulthood, not observed to the same extent in female. In more recent years this can be seen by noting that for males almost all purple cells are seen in childhood, with cells at older </w:t>
      </w:r>
      <w:proofErr w:type="gramStart"/>
      <w:r>
        <w:t>ages</w:t>
      </w:r>
      <w:proofErr w:type="gramEnd"/>
      <w:r>
        <w:t xml:space="preserve"> coloured light or dark orange. This broadly corresponds to somewhere between half an order of magnitude, to a full order of magnitude, increase in mortality risk after males reach adulthood compared with their risks in childhood. By contrast for females the difference in colour and shade in early adulthood is much less different to in childhood.</w:t>
      </w:r>
    </w:p>
    <w:p w14:paraId="4762127E" w14:textId="5E7DE30B" w:rsidR="00F60885" w:rsidRPr="00F60885" w:rsidRDefault="00F60885" w:rsidP="00F60885">
      <w:pPr>
        <w:spacing w:line="480" w:lineRule="auto"/>
        <w:jc w:val="center"/>
        <w:rPr>
          <w:i/>
        </w:rPr>
      </w:pPr>
      <w:r w:rsidRPr="00F60885">
        <w:rPr>
          <w:i/>
        </w:rPr>
        <w:t>[Figure 2 about here]</w:t>
      </w:r>
    </w:p>
    <w:p w14:paraId="017772DB" w14:textId="6D03C55E" w:rsidR="00F60885" w:rsidRPr="00F60885" w:rsidRDefault="00F60885" w:rsidP="00F60885">
      <w:pPr>
        <w:spacing w:line="480" w:lineRule="auto"/>
        <w:jc w:val="center"/>
        <w:rPr>
          <w:b/>
        </w:rPr>
      </w:pPr>
      <w:r w:rsidRPr="00F60885">
        <w:rPr>
          <w:b/>
        </w:rPr>
        <w:t>[Figure 2 Caption: ‘Pen Portrait’ of key features in Figure 1.]</w:t>
      </w:r>
    </w:p>
    <w:p w14:paraId="0F1029F1" w14:textId="2162030D" w:rsidR="00963867" w:rsidRDefault="00B447E0" w:rsidP="000B02C5">
      <w:pPr>
        <w:spacing w:line="480" w:lineRule="auto"/>
        <w:rPr>
          <w:rFonts w:eastAsiaTheme="minorEastAsia"/>
        </w:rPr>
      </w:pPr>
      <w:r>
        <w:lastRenderedPageBreak/>
        <w:t xml:space="preserve">Within Figure 2 P1, P2 and P3 indicate ‘Phase 1’, ‘Phase 2’ and ‘Phase 3’, each demarcating periods of years in which there appeared to be systemic differences in the rate of change in mortality risk at different ages. </w:t>
      </w:r>
      <w:r>
        <w:rPr>
          <w:rFonts w:eastAsiaTheme="minorEastAsia"/>
        </w:rPr>
        <w:t>The much more rapid falls in both female and</w:t>
      </w:r>
      <w:r w:rsidR="00963867">
        <w:rPr>
          <w:rFonts w:eastAsiaTheme="minorEastAsia"/>
        </w:rPr>
        <w:t xml:space="preserve"> male young adult mortality over Phase Two is evident in the Figure 1 </w:t>
      </w:r>
      <w:proofErr w:type="spellStart"/>
      <w:r w:rsidR="00963867">
        <w:rPr>
          <w:rFonts w:eastAsiaTheme="minorEastAsia"/>
        </w:rPr>
        <w:t>levelplot</w:t>
      </w:r>
      <w:proofErr w:type="spellEnd"/>
      <w:r w:rsidR="00963867">
        <w:rPr>
          <w:rFonts w:eastAsiaTheme="minorEastAsia"/>
        </w:rPr>
        <w:t xml:space="preserve"> by noting that most of the cells in the age range 20 to 40 years are red before the late 1930s, whereas during this Phase they turn dark and light orange. This represents close to an order of magnitude fall in mortality risk at these ages over these years. This is despite the period including World War Two, indicated with a shaded polygon in Figure 2. </w:t>
      </w:r>
    </w:p>
    <w:p w14:paraId="010A2870" w14:textId="481BBDF3" w:rsidR="00B447E0" w:rsidRDefault="00963867" w:rsidP="000B02C5">
      <w:pPr>
        <w:spacing w:line="480" w:lineRule="auto"/>
        <w:rPr>
          <w:rFonts w:eastAsiaTheme="minorEastAsia"/>
        </w:rPr>
      </w:pPr>
      <w:r>
        <w:rPr>
          <w:rFonts w:eastAsiaTheme="minorEastAsia"/>
        </w:rPr>
        <w:t xml:space="preserve">The effect of the Troubles on mortality is evident by noting the faint vertical band of red cells which appears in the male level plot from around age 18 to 40 after the early 1970s. Before this red band appeared cells tended to be a darker orange shade (slightly under </w:t>
      </w:r>
      <w:r w:rsidR="006C78A1">
        <w:rPr>
          <w:rFonts w:eastAsiaTheme="minorEastAsia"/>
        </w:rPr>
        <w:t xml:space="preserve">a </w:t>
      </w:r>
      <w:r>
        <w:rPr>
          <w:rFonts w:eastAsiaTheme="minorEastAsia"/>
        </w:rPr>
        <w:t xml:space="preserve">1-in-100 risk), and </w:t>
      </w:r>
      <w:r w:rsidR="000B2D22">
        <w:rPr>
          <w:rFonts w:eastAsiaTheme="minorEastAsia"/>
        </w:rPr>
        <w:t xml:space="preserve">a slightly lighter orange/yellow shade after. No similar discontinuity at this age range after the early 1970s is evident for females. </w:t>
      </w:r>
      <w:r w:rsidR="00A33838">
        <w:rPr>
          <w:rFonts w:eastAsiaTheme="minorEastAsia"/>
        </w:rPr>
        <w:t xml:space="preserve">Figure 3 explores this pattern further, by plotting the number of deaths for males and females aged between 18 and 40 years. A grey band is added indicating the years 1971-1973. Male deaths risk in 1971 and 1972, peak in 1973, and then remain above those seen in earlier years for many years afterwards; no similar increase is seen for females. </w:t>
      </w:r>
      <w:r w:rsidR="006C78A1">
        <w:rPr>
          <w:rFonts w:eastAsiaTheme="minorEastAsia"/>
        </w:rPr>
        <w:t xml:space="preserve">The </w:t>
      </w:r>
      <w:r w:rsidR="000B2D22">
        <w:rPr>
          <w:rFonts w:eastAsiaTheme="minorEastAsia"/>
        </w:rPr>
        <w:t>Troubles had a longer term effect than WW2 on male mortality.</w:t>
      </w:r>
      <w:r>
        <w:rPr>
          <w:rFonts w:eastAsiaTheme="minorEastAsia"/>
        </w:rPr>
        <w:t xml:space="preserve"> </w:t>
      </w:r>
    </w:p>
    <w:p w14:paraId="2D1A6A9C" w14:textId="674C89D0" w:rsidR="00F60885" w:rsidRPr="00F60885" w:rsidRDefault="00F60885" w:rsidP="00F60885">
      <w:pPr>
        <w:spacing w:line="480" w:lineRule="auto"/>
        <w:jc w:val="center"/>
        <w:rPr>
          <w:rFonts w:eastAsiaTheme="minorEastAsia"/>
          <w:i/>
        </w:rPr>
      </w:pPr>
      <w:r w:rsidRPr="00F60885">
        <w:rPr>
          <w:rFonts w:eastAsiaTheme="minorEastAsia"/>
          <w:i/>
        </w:rPr>
        <w:t>[Figure 3 about here]</w:t>
      </w:r>
    </w:p>
    <w:p w14:paraId="24763E9B" w14:textId="2E895553" w:rsidR="00F60885" w:rsidRPr="00F60885" w:rsidRDefault="00F60885" w:rsidP="00F60885">
      <w:pPr>
        <w:spacing w:line="480" w:lineRule="auto"/>
        <w:jc w:val="center"/>
        <w:rPr>
          <w:rFonts w:eastAsiaTheme="minorEastAsia"/>
          <w:b/>
        </w:rPr>
      </w:pPr>
      <w:r w:rsidRPr="00F60885">
        <w:rPr>
          <w:rFonts w:eastAsiaTheme="minorEastAsia"/>
          <w:b/>
        </w:rPr>
        <w:t>[Figure 3 Caption: Deaths for males and females between the ages of 18 and 40 years in Northern Ireland. Grey band indicates the years 1971-1973]</w:t>
      </w:r>
    </w:p>
    <w:p w14:paraId="124BE338" w14:textId="15B8D844" w:rsidR="00B447E0" w:rsidRDefault="0029467E" w:rsidP="000B02C5">
      <w:pPr>
        <w:spacing w:line="480" w:lineRule="auto"/>
      </w:pPr>
      <w:r>
        <w:t>Within Figure 2, the large horizontal grey band indicates the age range 15 to 45 years, within which further analyses will focus. Figure 4 shows level plots for males and females for this age range only, using a slightly different colour scheme and range of log</w:t>
      </w:r>
      <w:r>
        <w:rPr>
          <w:vertAlign w:val="subscript"/>
        </w:rPr>
        <w:t>10</w:t>
      </w:r>
      <w:r>
        <w:t xml:space="preserve"> mortality values to before. Within this plot the effect of the Troubles on male mortality is clearer, and appears as a band of light red, then dark red, cells after the early 1970s after orange and dark red cells in earlier years. Again, no similar pattern is seen for females. The disruption to earlier trends for males appears mainly to affect males </w:t>
      </w:r>
      <w:r>
        <w:lastRenderedPageBreak/>
        <w:t xml:space="preserve">once they have reached adulthood, and to be sharpest at younger adult ages, from around the ages of 18 to 21 years of age. </w:t>
      </w:r>
    </w:p>
    <w:p w14:paraId="100783A1" w14:textId="38FFEBBB" w:rsidR="00F60885" w:rsidRPr="00F60885" w:rsidRDefault="00F60885" w:rsidP="00F60885">
      <w:pPr>
        <w:spacing w:line="480" w:lineRule="auto"/>
        <w:jc w:val="center"/>
        <w:rPr>
          <w:rFonts w:eastAsiaTheme="minorEastAsia"/>
          <w:i/>
        </w:rPr>
      </w:pPr>
      <w:r w:rsidRPr="00F60885">
        <w:rPr>
          <w:rFonts w:eastAsiaTheme="minorEastAsia"/>
          <w:i/>
        </w:rPr>
        <w:t xml:space="preserve">[Figure </w:t>
      </w:r>
      <w:r>
        <w:rPr>
          <w:rFonts w:eastAsiaTheme="minorEastAsia"/>
          <w:i/>
        </w:rPr>
        <w:t>4</w:t>
      </w:r>
      <w:r w:rsidRPr="00F60885">
        <w:rPr>
          <w:rFonts w:eastAsiaTheme="minorEastAsia"/>
          <w:i/>
        </w:rPr>
        <w:t xml:space="preserve"> about here]</w:t>
      </w:r>
    </w:p>
    <w:p w14:paraId="0B51705D" w14:textId="47A4A0BE" w:rsidR="00F60885" w:rsidRPr="00F60885" w:rsidRDefault="00F60885" w:rsidP="00F60885">
      <w:pPr>
        <w:spacing w:line="480" w:lineRule="auto"/>
        <w:jc w:val="center"/>
        <w:rPr>
          <w:rFonts w:eastAsiaTheme="minorEastAsia"/>
          <w:b/>
        </w:rPr>
      </w:pPr>
      <w:r w:rsidRPr="00F60885">
        <w:rPr>
          <w:rFonts w:eastAsiaTheme="minorEastAsia"/>
          <w:b/>
        </w:rPr>
        <w:t xml:space="preserve">[Figure </w:t>
      </w:r>
      <w:r>
        <w:rPr>
          <w:rFonts w:eastAsiaTheme="minorEastAsia"/>
          <w:b/>
        </w:rPr>
        <w:t>4</w:t>
      </w:r>
      <w:r w:rsidRPr="00F60885">
        <w:rPr>
          <w:rFonts w:eastAsiaTheme="minorEastAsia"/>
          <w:b/>
        </w:rPr>
        <w:t xml:space="preserve"> Caption: </w:t>
      </w:r>
      <w:r>
        <w:rPr>
          <w:rFonts w:eastAsiaTheme="minorEastAsia"/>
          <w:b/>
        </w:rPr>
        <w:t>Level plot for log10 death rates for males and females between the ages of 15 and 45 years in Northern Ireland 1922-2013.</w:t>
      </w:r>
      <w:r w:rsidRPr="00F60885">
        <w:rPr>
          <w:rFonts w:eastAsiaTheme="minorEastAsia"/>
          <w:b/>
        </w:rPr>
        <w:t>]</w:t>
      </w:r>
    </w:p>
    <w:p w14:paraId="366AAC5A" w14:textId="41E53D1D" w:rsidR="0029467E" w:rsidRPr="003400A5" w:rsidRDefault="0029467E" w:rsidP="003400A5">
      <w:pPr>
        <w:pStyle w:val="Heading3"/>
        <w:rPr>
          <w:color w:val="auto"/>
        </w:rPr>
      </w:pPr>
      <w:r w:rsidRPr="003400A5">
        <w:rPr>
          <w:color w:val="auto"/>
        </w:rPr>
        <w:t xml:space="preserve">Modelling </w:t>
      </w:r>
    </w:p>
    <w:p w14:paraId="56D99FD2" w14:textId="6B52DDE7" w:rsidR="00307E81" w:rsidRDefault="00D055BC" w:rsidP="000B02C5">
      <w:pPr>
        <w:spacing w:line="480" w:lineRule="auto"/>
      </w:pPr>
      <w:r>
        <w:t xml:space="preserve">Figure 5 </w:t>
      </w:r>
      <w:r w:rsidR="001F32F4">
        <w:t>comprises three rows, each presenting a log</w:t>
      </w:r>
      <w:r w:rsidR="001F32F4" w:rsidRPr="001F32F4">
        <w:rPr>
          <w:vertAlign w:val="subscript"/>
        </w:rPr>
        <w:t>10</w:t>
      </w:r>
      <w:r w:rsidR="001F32F4">
        <w:t xml:space="preserve"> mortality surface for males over the age range 15 to 40 years and for all years. On the top row, labelled ‘predicted’, the model predicted surface, including the parameter for the Troubles, is presented; on the middle row, labelled ‘counterfactual’, the model prediction for a counterfactual scenario, in which the Troubles term is not applied, is presented; and in the bottom row, labelled ‘actual’, the actual log</w:t>
      </w:r>
      <w:r w:rsidR="001F32F4" w:rsidRPr="001F32F4">
        <w:rPr>
          <w:vertAlign w:val="subscript"/>
        </w:rPr>
        <w:t>10</w:t>
      </w:r>
      <w:r w:rsidR="001F32F4">
        <w:t xml:space="preserve"> mortality values from the data are presented. </w:t>
      </w:r>
      <w:r w:rsidR="006C78A1">
        <w:t xml:space="preserve">We </w:t>
      </w:r>
      <w:r w:rsidR="001F32F4">
        <w:t xml:space="preserve">can see that the model is relatively effective at capturing the broad pattern and features of the actual surface, though is clearly and necessarily a somewhat stylised representation of the actual </w:t>
      </w:r>
      <w:r w:rsidR="009140E4">
        <w:t>data surface</w:t>
      </w:r>
      <w:r w:rsidR="001F32F4">
        <w:t xml:space="preserve">. </w:t>
      </w:r>
    </w:p>
    <w:p w14:paraId="05CF5E62" w14:textId="66598365" w:rsidR="00F60885" w:rsidRPr="00F60885" w:rsidRDefault="00F60885" w:rsidP="00F60885">
      <w:pPr>
        <w:spacing w:line="480" w:lineRule="auto"/>
        <w:jc w:val="center"/>
        <w:rPr>
          <w:rFonts w:eastAsiaTheme="minorEastAsia"/>
          <w:i/>
        </w:rPr>
      </w:pPr>
      <w:r w:rsidRPr="00F60885">
        <w:rPr>
          <w:rFonts w:eastAsiaTheme="minorEastAsia"/>
          <w:i/>
        </w:rPr>
        <w:t xml:space="preserve">[Figure </w:t>
      </w:r>
      <w:r>
        <w:rPr>
          <w:rFonts w:eastAsiaTheme="minorEastAsia"/>
          <w:i/>
        </w:rPr>
        <w:t>5</w:t>
      </w:r>
      <w:r w:rsidRPr="00F60885">
        <w:rPr>
          <w:rFonts w:eastAsiaTheme="minorEastAsia"/>
          <w:i/>
        </w:rPr>
        <w:t xml:space="preserve"> about here]</w:t>
      </w:r>
    </w:p>
    <w:p w14:paraId="7F648448" w14:textId="36479669" w:rsidR="00F60885" w:rsidRDefault="00F60885" w:rsidP="00F60885">
      <w:pPr>
        <w:spacing w:line="480" w:lineRule="auto"/>
        <w:jc w:val="center"/>
        <w:rPr>
          <w:rFonts w:eastAsiaTheme="minorEastAsia"/>
          <w:b/>
        </w:rPr>
      </w:pPr>
      <w:r w:rsidRPr="00F60885">
        <w:rPr>
          <w:rFonts w:eastAsiaTheme="minorEastAsia"/>
          <w:b/>
        </w:rPr>
        <w:t xml:space="preserve">[Figure </w:t>
      </w:r>
      <w:r>
        <w:rPr>
          <w:rFonts w:eastAsiaTheme="minorEastAsia"/>
          <w:b/>
        </w:rPr>
        <w:t>5</w:t>
      </w:r>
      <w:r w:rsidRPr="00F60885">
        <w:rPr>
          <w:rFonts w:eastAsiaTheme="minorEastAsia"/>
          <w:b/>
        </w:rPr>
        <w:t xml:space="preserve"> Caption: </w:t>
      </w:r>
      <w:r>
        <w:rPr>
          <w:rFonts w:eastAsiaTheme="minorEastAsia"/>
          <w:b/>
        </w:rPr>
        <w:t>Level plots for modelled death rates (top row), modelled counterfactual death rates (middle row) and actual death rates for males aged 15-45 years in Northern Ireland, 1922-2013</w:t>
      </w:r>
      <w:r w:rsidRPr="00F60885">
        <w:rPr>
          <w:rFonts w:eastAsiaTheme="minorEastAsia"/>
          <w:b/>
        </w:rPr>
        <w:t>]</w:t>
      </w:r>
    </w:p>
    <w:p w14:paraId="56DB5403" w14:textId="524C324B" w:rsidR="00F60885" w:rsidRPr="00F60885" w:rsidRDefault="00F60885" w:rsidP="00F60885">
      <w:pPr>
        <w:spacing w:line="480" w:lineRule="auto"/>
        <w:jc w:val="center"/>
        <w:rPr>
          <w:rFonts w:eastAsiaTheme="minorEastAsia"/>
          <w:i/>
        </w:rPr>
      </w:pPr>
      <w:r w:rsidRPr="00F60885">
        <w:rPr>
          <w:rFonts w:eastAsiaTheme="minorEastAsia"/>
          <w:i/>
        </w:rPr>
        <w:t xml:space="preserve">[Figure </w:t>
      </w:r>
      <w:r>
        <w:rPr>
          <w:rFonts w:eastAsiaTheme="minorEastAsia"/>
          <w:i/>
        </w:rPr>
        <w:t>6</w:t>
      </w:r>
      <w:r w:rsidRPr="00F60885">
        <w:rPr>
          <w:rFonts w:eastAsiaTheme="minorEastAsia"/>
          <w:i/>
        </w:rPr>
        <w:t xml:space="preserve"> about here]</w:t>
      </w:r>
    </w:p>
    <w:p w14:paraId="3732EDDA" w14:textId="7CA3B323" w:rsidR="00F60885" w:rsidRDefault="00F60885" w:rsidP="00F60885">
      <w:pPr>
        <w:spacing w:line="480" w:lineRule="auto"/>
        <w:jc w:val="center"/>
        <w:rPr>
          <w:rFonts w:eastAsiaTheme="minorEastAsia"/>
          <w:b/>
        </w:rPr>
      </w:pPr>
      <w:r w:rsidRPr="00F60885">
        <w:rPr>
          <w:rFonts w:eastAsiaTheme="minorEastAsia"/>
          <w:b/>
        </w:rPr>
        <w:t xml:space="preserve">[Figure </w:t>
      </w:r>
      <w:r>
        <w:rPr>
          <w:rFonts w:eastAsiaTheme="minorEastAsia"/>
          <w:b/>
        </w:rPr>
        <w:t>6</w:t>
      </w:r>
      <w:r w:rsidRPr="00F60885">
        <w:rPr>
          <w:rFonts w:eastAsiaTheme="minorEastAsia"/>
          <w:b/>
        </w:rPr>
        <w:t xml:space="preserve"> Caption: </w:t>
      </w:r>
      <w:r>
        <w:rPr>
          <w:rFonts w:eastAsiaTheme="minorEastAsia"/>
          <w:b/>
        </w:rPr>
        <w:t>Level plots of residuals between modelled and actual log10 death rates by age and year for males 15 to 45 years in Northern Ireland, 1922-2013. Red indicates model overestimation, blue underestimation, and shade magnitude of error</w:t>
      </w:r>
      <w:r w:rsidRPr="00F60885">
        <w:rPr>
          <w:rFonts w:eastAsiaTheme="minorEastAsia"/>
          <w:b/>
        </w:rPr>
        <w:t>]</w:t>
      </w:r>
    </w:p>
    <w:p w14:paraId="1D34B4AB" w14:textId="77777777" w:rsidR="00F60885" w:rsidRPr="00F60885" w:rsidRDefault="00F60885" w:rsidP="00F60885">
      <w:pPr>
        <w:spacing w:line="480" w:lineRule="auto"/>
        <w:jc w:val="center"/>
        <w:rPr>
          <w:rFonts w:eastAsiaTheme="minorEastAsia"/>
          <w:b/>
        </w:rPr>
      </w:pPr>
    </w:p>
    <w:p w14:paraId="1EE4883A" w14:textId="6F46754D" w:rsidR="00B447E0" w:rsidRDefault="00095E96" w:rsidP="000B02C5">
      <w:pPr>
        <w:spacing w:line="480" w:lineRule="auto"/>
      </w:pPr>
      <w:r>
        <w:lastRenderedPageBreak/>
        <w:t>Systemic bias in over-estimation or under-estimation of age-year specific mortality risks can be explored by looking at the surface of residuals between the predicted and actual surfaces, as shown in Figure 6:</w:t>
      </w:r>
      <w:r w:rsidR="009140E4">
        <w:t xml:space="preserve"> </w:t>
      </w:r>
      <w:r w:rsidR="00D055BC">
        <w:t>within this figure red cells indicate model over-</w:t>
      </w:r>
      <w:r w:rsidR="009140E4">
        <w:t xml:space="preserve">estimation, </w:t>
      </w:r>
      <w:r w:rsidR="00D055BC">
        <w:t xml:space="preserve">blue cells under-estimation, </w:t>
      </w:r>
      <w:proofErr w:type="gramStart"/>
      <w:r w:rsidR="00D055BC">
        <w:t>and</w:t>
      </w:r>
      <w:proofErr w:type="gramEnd"/>
      <w:r w:rsidR="00D055BC">
        <w:t xml:space="preserve"> the shade of cells </w:t>
      </w:r>
      <w:r w:rsidR="009140E4">
        <w:t>the magnitude of error</w:t>
      </w:r>
      <w:r w:rsidR="00D055BC">
        <w:t xml:space="preserve">. </w:t>
      </w:r>
      <w:r w:rsidR="009140E4">
        <w:t>S</w:t>
      </w:r>
      <w:r>
        <w:t xml:space="preserve">ystemic biases in these estimates </w:t>
      </w:r>
      <w:r w:rsidR="009140E4">
        <w:t xml:space="preserve">appear </w:t>
      </w:r>
      <w:r>
        <w:t xml:space="preserve">as large ‘patches’ of cells with positive or negative residuals, as well as discontinuities in the data. </w:t>
      </w:r>
      <w:r w:rsidR="009140E4">
        <w:t xml:space="preserve">There is </w:t>
      </w:r>
      <w:r>
        <w:t xml:space="preserve">a vertical band of red cells at younger ages in 1939; </w:t>
      </w:r>
      <w:r w:rsidR="009140E4">
        <w:t xml:space="preserve">suggesting </w:t>
      </w:r>
      <w:r>
        <w:t>the model underestimates deaths in younger males during World War Two</w:t>
      </w:r>
      <w:r w:rsidR="009140E4">
        <w:t xml:space="preserve">; this </w:t>
      </w:r>
      <w:r>
        <w:t xml:space="preserve">should not be surprising given the model does not include any terms to represent this event. </w:t>
      </w:r>
      <w:r w:rsidR="009140E4">
        <w:t>F</w:t>
      </w:r>
      <w:r w:rsidR="00F73E1F">
        <w:t>igure 7</w:t>
      </w:r>
      <w:r w:rsidR="00044023">
        <w:t xml:space="preserve"> shows the model fit as a </w:t>
      </w:r>
      <w:r w:rsidR="009140E4">
        <w:t xml:space="preserve">function of the decay rate, k. The model has a </w:t>
      </w:r>
      <w:r w:rsidR="00F73E1F">
        <w:t>best fit when k is 9.748%</w:t>
      </w:r>
      <w:r w:rsidR="009140E4">
        <w:t xml:space="preserve">, suggesting a </w:t>
      </w:r>
      <w:r w:rsidR="00F73E1F">
        <w:t>half</w:t>
      </w:r>
      <w:r w:rsidR="009140E4">
        <w:t>-</w:t>
      </w:r>
      <w:r w:rsidR="00F73E1F">
        <w:t xml:space="preserve">life of the Troubles </w:t>
      </w:r>
      <w:r w:rsidR="009140E4">
        <w:t xml:space="preserve">of </w:t>
      </w:r>
      <w:r w:rsidR="00F73E1F">
        <w:t xml:space="preserve">6.76 years. </w:t>
      </w:r>
    </w:p>
    <w:p w14:paraId="31FDFB82" w14:textId="20A5D454" w:rsidR="00F60885" w:rsidRPr="00044023" w:rsidRDefault="00F60885" w:rsidP="00044023">
      <w:pPr>
        <w:spacing w:line="480" w:lineRule="auto"/>
        <w:jc w:val="center"/>
        <w:rPr>
          <w:i/>
        </w:rPr>
      </w:pPr>
      <w:r w:rsidRPr="00044023">
        <w:rPr>
          <w:i/>
        </w:rPr>
        <w:t>[Figure 7 about here]</w:t>
      </w:r>
    </w:p>
    <w:p w14:paraId="7A3D6703" w14:textId="123E8480" w:rsidR="00F60885" w:rsidRPr="00044023" w:rsidRDefault="00F60885" w:rsidP="00044023">
      <w:pPr>
        <w:spacing w:line="480" w:lineRule="auto"/>
        <w:jc w:val="center"/>
        <w:rPr>
          <w:b/>
        </w:rPr>
      </w:pPr>
      <w:r w:rsidRPr="00044023">
        <w:rPr>
          <w:b/>
        </w:rPr>
        <w:t xml:space="preserve">[Figure 7 Caption: </w:t>
      </w:r>
      <w:r w:rsidR="00044023" w:rsidRPr="00044023">
        <w:rPr>
          <w:b/>
        </w:rPr>
        <w:t>The relationship between decay parameter and model fit using AIC. (Lower AIC value = better)]</w:t>
      </w:r>
    </w:p>
    <w:p w14:paraId="1D937919" w14:textId="77777777" w:rsidR="00F73E1F" w:rsidRPr="003400A5" w:rsidRDefault="00F73E1F" w:rsidP="003400A5">
      <w:pPr>
        <w:pStyle w:val="Heading3"/>
        <w:rPr>
          <w:color w:val="auto"/>
        </w:rPr>
      </w:pPr>
      <w:r w:rsidRPr="003400A5">
        <w:rPr>
          <w:color w:val="auto"/>
        </w:rPr>
        <w:t>Counterfactual estimation</w:t>
      </w:r>
    </w:p>
    <w:p w14:paraId="02EA21D5" w14:textId="77777777" w:rsidR="00044023" w:rsidRDefault="00F73E1F" w:rsidP="000B02C5">
      <w:pPr>
        <w:spacing w:line="480" w:lineRule="auto"/>
      </w:pPr>
      <w:r>
        <w:t xml:space="preserve">Using the approach described in the methods section, the number of additional deaths attributed to the Troubles by the model can be estimated by applying mortality risks to population sizes under both the ‘with-Troubles’ and ‘without-Troubles’ scenarios. </w:t>
      </w:r>
      <w:r w:rsidR="00F33FF6">
        <w:t>Figure 8 shows the estimated number of additional deaths at each age and year after 1972</w:t>
      </w:r>
      <w:r w:rsidR="00143745">
        <w:t>. These tend to be concentrated at the youngest adult ages, then reduce with age. This is further confirmed by extracting the coefficient associated with the Troubles for each age, as shown in Figure 9</w:t>
      </w:r>
      <w:r w:rsidR="00EF78B9">
        <w:t>, which include the equivalent coefficients for females if using the same model specification</w:t>
      </w:r>
      <w:r w:rsidR="00143745">
        <w:t xml:space="preserve">. </w:t>
      </w:r>
    </w:p>
    <w:p w14:paraId="7392BFBD" w14:textId="59DEB74D" w:rsidR="00044023" w:rsidRPr="00044023" w:rsidRDefault="00044023" w:rsidP="00044023">
      <w:pPr>
        <w:spacing w:line="480" w:lineRule="auto"/>
        <w:jc w:val="center"/>
        <w:rPr>
          <w:i/>
        </w:rPr>
      </w:pPr>
      <w:r w:rsidRPr="00044023">
        <w:rPr>
          <w:i/>
        </w:rPr>
        <w:t>[Figure 8 about here]</w:t>
      </w:r>
    </w:p>
    <w:p w14:paraId="4926357C" w14:textId="094C4B89" w:rsidR="00044023" w:rsidRPr="00044023" w:rsidRDefault="00044023" w:rsidP="00044023">
      <w:pPr>
        <w:spacing w:line="480" w:lineRule="auto"/>
        <w:jc w:val="center"/>
        <w:rPr>
          <w:b/>
        </w:rPr>
      </w:pPr>
      <w:r w:rsidRPr="00044023">
        <w:rPr>
          <w:b/>
        </w:rPr>
        <w:t>[Figure 8 Caption: Model estimated ‘excess deaths’ due to the Troubles from 1970 onwards, in males in Northern Ireland aged 15-45 years. Colours indicate numbers of deaths by age and year; the legend is shown on the right.]</w:t>
      </w:r>
    </w:p>
    <w:p w14:paraId="5E96AA0C" w14:textId="6B20A7B1" w:rsidR="00F73E1F" w:rsidRDefault="00EF78B9" w:rsidP="000B02C5">
      <w:pPr>
        <w:spacing w:line="480" w:lineRule="auto"/>
      </w:pPr>
      <w:r>
        <w:lastRenderedPageBreak/>
        <w:t xml:space="preserve">For males the effect is positive at almost all ages, and is largest at age 18, then falls at most older ages; for females it tends to be negative, suggesting the model may be </w:t>
      </w:r>
      <w:proofErr w:type="spellStart"/>
      <w:r>
        <w:t>misspecified</w:t>
      </w:r>
      <w:proofErr w:type="spellEnd"/>
      <w:r>
        <w:t xml:space="preserve"> for females, and instead </w:t>
      </w:r>
      <w:r w:rsidR="009140E4">
        <w:t xml:space="preserve">captures </w:t>
      </w:r>
      <w:r>
        <w:t xml:space="preserve">broader continual improvements in mortality risks over this time period. </w:t>
      </w:r>
      <w:r w:rsidR="00143745">
        <w:t xml:space="preserve">Table 1 shows the number of estimated additional </w:t>
      </w:r>
      <w:r>
        <w:t xml:space="preserve">male </w:t>
      </w:r>
      <w:r w:rsidR="00143745">
        <w:t>deaths by year and age group in five year interva</w:t>
      </w:r>
      <w:r w:rsidR="00C920BF">
        <w:t xml:space="preserve">ls to the nearest whole number for each year from 1972 to 2013, with margins indicating the total number by year and age. This estimates nearly 2800 additional deaths by 2013, with over 1000 occurring in the first three years of the conflict from 1972 to 1975. Looking by age, over half of the estimated deaths (1470 out of 2776) are estimated to have occurred in boys and men aged between 15 and 25 years inclusive. </w:t>
      </w:r>
    </w:p>
    <w:p w14:paraId="1C6A62A3" w14:textId="271DFF5C" w:rsidR="00044023" w:rsidRPr="00044023" w:rsidRDefault="00044023" w:rsidP="00044023">
      <w:pPr>
        <w:spacing w:line="480" w:lineRule="auto"/>
        <w:jc w:val="center"/>
        <w:rPr>
          <w:i/>
        </w:rPr>
      </w:pPr>
      <w:r w:rsidRPr="00044023">
        <w:rPr>
          <w:i/>
        </w:rPr>
        <w:t xml:space="preserve">[Figure </w:t>
      </w:r>
      <w:r>
        <w:rPr>
          <w:i/>
        </w:rPr>
        <w:t>9</w:t>
      </w:r>
      <w:r w:rsidRPr="00044023">
        <w:rPr>
          <w:i/>
        </w:rPr>
        <w:t xml:space="preserve"> about here]</w:t>
      </w:r>
    </w:p>
    <w:p w14:paraId="3856CCD3" w14:textId="5463C914" w:rsidR="00044023" w:rsidRPr="00044023" w:rsidRDefault="00044023" w:rsidP="00044023">
      <w:pPr>
        <w:spacing w:line="480" w:lineRule="auto"/>
        <w:jc w:val="center"/>
        <w:rPr>
          <w:b/>
        </w:rPr>
      </w:pPr>
      <w:r w:rsidRPr="00044023">
        <w:rPr>
          <w:b/>
        </w:rPr>
        <w:t xml:space="preserve">[Figure </w:t>
      </w:r>
      <w:r>
        <w:rPr>
          <w:b/>
        </w:rPr>
        <w:t>9</w:t>
      </w:r>
      <w:r w:rsidRPr="00044023">
        <w:rPr>
          <w:b/>
        </w:rPr>
        <w:t xml:space="preserve"> Caption: </w:t>
      </w:r>
      <w:r>
        <w:rPr>
          <w:b/>
        </w:rPr>
        <w:t>Coefficient of the ‘Troubles parameter’ by age in single years for males (blue triangle) and females (red circle).</w:t>
      </w:r>
      <w:r w:rsidRPr="00044023">
        <w:rPr>
          <w:b/>
        </w:rPr>
        <w:t>]</w:t>
      </w:r>
    </w:p>
    <w:p w14:paraId="372191A8" w14:textId="3B6DBA3B" w:rsidR="00044023" w:rsidRDefault="00044023">
      <w:r>
        <w:br w:type="page"/>
      </w:r>
    </w:p>
    <w:tbl>
      <w:tblPr>
        <w:tblW w:w="7320" w:type="dxa"/>
        <w:tblLook w:val="04A0" w:firstRow="1" w:lastRow="0" w:firstColumn="1" w:lastColumn="0" w:noHBand="0" w:noVBand="1"/>
      </w:tblPr>
      <w:tblGrid>
        <w:gridCol w:w="960"/>
        <w:gridCol w:w="795"/>
        <w:gridCol w:w="794"/>
        <w:gridCol w:w="794"/>
        <w:gridCol w:w="794"/>
        <w:gridCol w:w="794"/>
        <w:gridCol w:w="794"/>
        <w:gridCol w:w="680"/>
        <w:gridCol w:w="1340"/>
      </w:tblGrid>
      <w:tr w:rsidR="00044023" w:rsidRPr="00044023" w14:paraId="095F3B05" w14:textId="77777777" w:rsidTr="00044023">
        <w:trPr>
          <w:trHeight w:val="284"/>
        </w:trPr>
        <w:tc>
          <w:tcPr>
            <w:tcW w:w="960" w:type="dxa"/>
            <w:tcBorders>
              <w:top w:val="nil"/>
              <w:left w:val="nil"/>
              <w:bottom w:val="nil"/>
              <w:right w:val="nil"/>
            </w:tcBorders>
            <w:shd w:val="clear" w:color="auto" w:fill="auto"/>
            <w:noWrap/>
            <w:vAlign w:val="bottom"/>
            <w:hideMark/>
          </w:tcPr>
          <w:p w14:paraId="2B5EB039" w14:textId="77777777" w:rsidR="00044023" w:rsidRPr="00044023" w:rsidRDefault="00044023" w:rsidP="00044023">
            <w:pPr>
              <w:spacing w:after="0" w:line="240" w:lineRule="auto"/>
              <w:rPr>
                <w:rFonts w:ascii="Times New Roman" w:eastAsia="Times New Roman" w:hAnsi="Times New Roman" w:cs="Times New Roman"/>
                <w:sz w:val="20"/>
                <w:szCs w:val="24"/>
                <w:lang w:eastAsia="en-GB"/>
              </w:rPr>
            </w:pPr>
          </w:p>
        </w:tc>
        <w:tc>
          <w:tcPr>
            <w:tcW w:w="4340" w:type="dxa"/>
            <w:gridSpan w:val="6"/>
            <w:tcBorders>
              <w:top w:val="nil"/>
              <w:left w:val="single" w:sz="4" w:space="0" w:color="auto"/>
              <w:bottom w:val="nil"/>
              <w:right w:val="single" w:sz="4" w:space="0" w:color="000000"/>
            </w:tcBorders>
            <w:shd w:val="clear" w:color="auto" w:fill="auto"/>
            <w:noWrap/>
            <w:vAlign w:val="bottom"/>
            <w:hideMark/>
          </w:tcPr>
          <w:p w14:paraId="6A9B4BED" w14:textId="77777777" w:rsidR="00044023" w:rsidRPr="00044023" w:rsidRDefault="00044023" w:rsidP="00044023">
            <w:pPr>
              <w:spacing w:after="0" w:line="240" w:lineRule="auto"/>
              <w:jc w:val="center"/>
              <w:rPr>
                <w:rFonts w:ascii="Calibri" w:eastAsia="Times New Roman" w:hAnsi="Calibri" w:cs="Times New Roman"/>
                <w:b/>
                <w:bCs/>
                <w:color w:val="000000"/>
                <w:sz w:val="20"/>
                <w:lang w:eastAsia="en-GB"/>
              </w:rPr>
            </w:pPr>
            <w:r w:rsidRPr="00044023">
              <w:rPr>
                <w:rFonts w:ascii="Calibri" w:eastAsia="Times New Roman" w:hAnsi="Calibri" w:cs="Times New Roman"/>
                <w:b/>
                <w:bCs/>
                <w:color w:val="000000"/>
                <w:sz w:val="20"/>
                <w:lang w:eastAsia="en-GB"/>
              </w:rPr>
              <w:t>Age Group</w:t>
            </w:r>
          </w:p>
        </w:tc>
        <w:tc>
          <w:tcPr>
            <w:tcW w:w="680" w:type="dxa"/>
            <w:tcBorders>
              <w:top w:val="nil"/>
              <w:left w:val="nil"/>
              <w:bottom w:val="nil"/>
              <w:right w:val="nil"/>
            </w:tcBorders>
            <w:shd w:val="clear" w:color="auto" w:fill="auto"/>
            <w:noWrap/>
            <w:vAlign w:val="bottom"/>
            <w:hideMark/>
          </w:tcPr>
          <w:p w14:paraId="62BCBF67" w14:textId="77777777" w:rsidR="00044023" w:rsidRPr="00044023" w:rsidRDefault="00044023" w:rsidP="00044023">
            <w:pPr>
              <w:spacing w:after="0" w:line="240" w:lineRule="auto"/>
              <w:jc w:val="center"/>
              <w:rPr>
                <w:rFonts w:ascii="Calibri" w:eastAsia="Times New Roman" w:hAnsi="Calibri" w:cs="Times New Roman"/>
                <w:b/>
                <w:bCs/>
                <w:color w:val="000000"/>
                <w:sz w:val="20"/>
                <w:lang w:eastAsia="en-GB"/>
              </w:rPr>
            </w:pPr>
          </w:p>
        </w:tc>
        <w:tc>
          <w:tcPr>
            <w:tcW w:w="1340" w:type="dxa"/>
            <w:tcBorders>
              <w:top w:val="nil"/>
              <w:left w:val="nil"/>
              <w:bottom w:val="nil"/>
              <w:right w:val="nil"/>
            </w:tcBorders>
            <w:shd w:val="clear" w:color="auto" w:fill="auto"/>
            <w:noWrap/>
            <w:vAlign w:val="bottom"/>
            <w:hideMark/>
          </w:tcPr>
          <w:p w14:paraId="7E07B95E" w14:textId="77777777" w:rsidR="00044023" w:rsidRPr="00044023" w:rsidRDefault="00044023" w:rsidP="00044023">
            <w:pPr>
              <w:spacing w:after="0" w:line="240" w:lineRule="auto"/>
              <w:rPr>
                <w:rFonts w:ascii="Times New Roman" w:eastAsia="Times New Roman" w:hAnsi="Times New Roman" w:cs="Times New Roman"/>
                <w:sz w:val="20"/>
                <w:szCs w:val="20"/>
                <w:lang w:eastAsia="en-GB"/>
              </w:rPr>
            </w:pPr>
          </w:p>
        </w:tc>
      </w:tr>
      <w:tr w:rsidR="00044023" w:rsidRPr="00044023" w14:paraId="7ED1A1E2" w14:textId="77777777" w:rsidTr="00044023">
        <w:trPr>
          <w:trHeight w:val="288"/>
        </w:trPr>
        <w:tc>
          <w:tcPr>
            <w:tcW w:w="960" w:type="dxa"/>
            <w:tcBorders>
              <w:top w:val="nil"/>
              <w:left w:val="nil"/>
              <w:bottom w:val="nil"/>
              <w:right w:val="nil"/>
            </w:tcBorders>
            <w:shd w:val="clear" w:color="auto" w:fill="auto"/>
            <w:noWrap/>
            <w:vAlign w:val="bottom"/>
            <w:hideMark/>
          </w:tcPr>
          <w:p w14:paraId="2567E9A3" w14:textId="77777777" w:rsidR="00044023" w:rsidRPr="00044023" w:rsidRDefault="00044023" w:rsidP="00044023">
            <w:pPr>
              <w:spacing w:after="0" w:line="240" w:lineRule="auto"/>
              <w:rPr>
                <w:rFonts w:ascii="Calibri" w:eastAsia="Times New Roman" w:hAnsi="Calibri" w:cs="Times New Roman"/>
                <w:b/>
                <w:bCs/>
                <w:color w:val="000000"/>
                <w:sz w:val="20"/>
                <w:lang w:eastAsia="en-GB"/>
              </w:rPr>
            </w:pPr>
            <w:r w:rsidRPr="00044023">
              <w:rPr>
                <w:rFonts w:ascii="Calibri" w:eastAsia="Times New Roman" w:hAnsi="Calibri" w:cs="Times New Roman"/>
                <w:b/>
                <w:bCs/>
                <w:color w:val="000000"/>
                <w:sz w:val="20"/>
                <w:lang w:eastAsia="en-GB"/>
              </w:rPr>
              <w:t>Year</w:t>
            </w:r>
          </w:p>
        </w:tc>
        <w:tc>
          <w:tcPr>
            <w:tcW w:w="724" w:type="dxa"/>
            <w:tcBorders>
              <w:top w:val="nil"/>
              <w:left w:val="single" w:sz="4" w:space="0" w:color="auto"/>
              <w:bottom w:val="nil"/>
              <w:right w:val="nil"/>
            </w:tcBorders>
            <w:shd w:val="clear" w:color="auto" w:fill="auto"/>
            <w:noWrap/>
            <w:vAlign w:val="bottom"/>
            <w:hideMark/>
          </w:tcPr>
          <w:p w14:paraId="1E7ADC3F"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[15,20]</w:t>
            </w:r>
          </w:p>
        </w:tc>
        <w:tc>
          <w:tcPr>
            <w:tcW w:w="724" w:type="dxa"/>
            <w:tcBorders>
              <w:top w:val="nil"/>
              <w:left w:val="nil"/>
              <w:bottom w:val="nil"/>
              <w:right w:val="nil"/>
            </w:tcBorders>
            <w:shd w:val="clear" w:color="auto" w:fill="auto"/>
            <w:noWrap/>
            <w:vAlign w:val="bottom"/>
            <w:hideMark/>
          </w:tcPr>
          <w:p w14:paraId="6A60220B"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(20,25]</w:t>
            </w:r>
          </w:p>
        </w:tc>
        <w:tc>
          <w:tcPr>
            <w:tcW w:w="723" w:type="dxa"/>
            <w:tcBorders>
              <w:top w:val="nil"/>
              <w:left w:val="nil"/>
              <w:bottom w:val="nil"/>
              <w:right w:val="nil"/>
            </w:tcBorders>
            <w:shd w:val="clear" w:color="auto" w:fill="auto"/>
            <w:noWrap/>
            <w:vAlign w:val="bottom"/>
            <w:hideMark/>
          </w:tcPr>
          <w:p w14:paraId="0506F2F1"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(25,30]</w:t>
            </w:r>
          </w:p>
        </w:tc>
        <w:tc>
          <w:tcPr>
            <w:tcW w:w="723" w:type="dxa"/>
            <w:tcBorders>
              <w:top w:val="nil"/>
              <w:left w:val="nil"/>
              <w:bottom w:val="nil"/>
              <w:right w:val="nil"/>
            </w:tcBorders>
            <w:shd w:val="clear" w:color="auto" w:fill="auto"/>
            <w:noWrap/>
            <w:vAlign w:val="bottom"/>
            <w:hideMark/>
          </w:tcPr>
          <w:p w14:paraId="76A2AD16"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(30,35]</w:t>
            </w:r>
          </w:p>
        </w:tc>
        <w:tc>
          <w:tcPr>
            <w:tcW w:w="723" w:type="dxa"/>
            <w:tcBorders>
              <w:top w:val="nil"/>
              <w:left w:val="nil"/>
              <w:bottom w:val="nil"/>
              <w:right w:val="nil"/>
            </w:tcBorders>
            <w:shd w:val="clear" w:color="auto" w:fill="auto"/>
            <w:noWrap/>
            <w:vAlign w:val="bottom"/>
            <w:hideMark/>
          </w:tcPr>
          <w:p w14:paraId="59D72545"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(35,40]</w:t>
            </w:r>
          </w:p>
        </w:tc>
        <w:tc>
          <w:tcPr>
            <w:tcW w:w="723" w:type="dxa"/>
            <w:tcBorders>
              <w:top w:val="nil"/>
              <w:left w:val="nil"/>
              <w:bottom w:val="nil"/>
              <w:right w:val="single" w:sz="4" w:space="0" w:color="auto"/>
            </w:tcBorders>
            <w:shd w:val="clear" w:color="auto" w:fill="auto"/>
            <w:noWrap/>
            <w:vAlign w:val="bottom"/>
            <w:hideMark/>
          </w:tcPr>
          <w:p w14:paraId="2DBDA0B5"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(40,45]</w:t>
            </w:r>
          </w:p>
        </w:tc>
        <w:tc>
          <w:tcPr>
            <w:tcW w:w="680" w:type="dxa"/>
            <w:tcBorders>
              <w:top w:val="nil"/>
              <w:left w:val="nil"/>
              <w:bottom w:val="nil"/>
              <w:right w:val="nil"/>
            </w:tcBorders>
            <w:shd w:val="clear" w:color="auto" w:fill="auto"/>
            <w:noWrap/>
            <w:vAlign w:val="bottom"/>
            <w:hideMark/>
          </w:tcPr>
          <w:p w14:paraId="5ECB1505" w14:textId="77777777" w:rsidR="00044023" w:rsidRPr="00044023" w:rsidRDefault="00044023" w:rsidP="00044023">
            <w:pPr>
              <w:spacing w:after="0" w:line="240" w:lineRule="auto"/>
              <w:rPr>
                <w:rFonts w:ascii="Calibri" w:eastAsia="Times New Roman" w:hAnsi="Calibri" w:cs="Times New Roman"/>
                <w:b/>
                <w:bCs/>
                <w:color w:val="000000"/>
                <w:sz w:val="20"/>
                <w:lang w:eastAsia="en-GB"/>
              </w:rPr>
            </w:pPr>
            <w:r w:rsidRPr="00044023">
              <w:rPr>
                <w:rFonts w:ascii="Calibri" w:eastAsia="Times New Roman" w:hAnsi="Calibri" w:cs="Times New Roman"/>
                <w:b/>
                <w:bCs/>
                <w:color w:val="000000"/>
                <w:sz w:val="20"/>
                <w:lang w:eastAsia="en-GB"/>
              </w:rPr>
              <w:t>Total</w:t>
            </w:r>
          </w:p>
        </w:tc>
        <w:tc>
          <w:tcPr>
            <w:tcW w:w="1340" w:type="dxa"/>
            <w:tcBorders>
              <w:top w:val="nil"/>
              <w:left w:val="nil"/>
              <w:bottom w:val="nil"/>
              <w:right w:val="nil"/>
            </w:tcBorders>
            <w:shd w:val="clear" w:color="auto" w:fill="auto"/>
            <w:noWrap/>
            <w:vAlign w:val="bottom"/>
            <w:hideMark/>
          </w:tcPr>
          <w:p w14:paraId="2FF255C8" w14:textId="77777777" w:rsidR="00044023" w:rsidRPr="00044023" w:rsidRDefault="00044023" w:rsidP="00044023">
            <w:pPr>
              <w:spacing w:after="0" w:line="240" w:lineRule="auto"/>
              <w:rPr>
                <w:rFonts w:ascii="Calibri" w:eastAsia="Times New Roman" w:hAnsi="Calibri" w:cs="Times New Roman"/>
                <w:b/>
                <w:bCs/>
                <w:color w:val="000000"/>
                <w:sz w:val="20"/>
                <w:lang w:eastAsia="en-GB"/>
              </w:rPr>
            </w:pPr>
            <w:r w:rsidRPr="00044023">
              <w:rPr>
                <w:rFonts w:ascii="Calibri" w:eastAsia="Times New Roman" w:hAnsi="Calibri" w:cs="Times New Roman"/>
                <w:b/>
                <w:bCs/>
                <w:color w:val="000000"/>
                <w:sz w:val="20"/>
                <w:lang w:eastAsia="en-GB"/>
              </w:rPr>
              <w:t>Cumulative</w:t>
            </w:r>
          </w:p>
        </w:tc>
      </w:tr>
      <w:tr w:rsidR="00044023" w:rsidRPr="00044023" w14:paraId="3CBC7996" w14:textId="77777777" w:rsidTr="00044023">
        <w:trPr>
          <w:trHeight w:val="136"/>
        </w:trPr>
        <w:tc>
          <w:tcPr>
            <w:tcW w:w="960" w:type="dxa"/>
            <w:tcBorders>
              <w:top w:val="nil"/>
              <w:left w:val="nil"/>
              <w:bottom w:val="nil"/>
              <w:right w:val="nil"/>
            </w:tcBorders>
            <w:shd w:val="clear" w:color="auto" w:fill="auto"/>
            <w:noWrap/>
            <w:vAlign w:val="bottom"/>
            <w:hideMark/>
          </w:tcPr>
          <w:p w14:paraId="4B3C5F3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1972</w:t>
            </w:r>
          </w:p>
        </w:tc>
        <w:tc>
          <w:tcPr>
            <w:tcW w:w="724" w:type="dxa"/>
            <w:tcBorders>
              <w:top w:val="nil"/>
              <w:left w:val="single" w:sz="4" w:space="0" w:color="auto"/>
              <w:bottom w:val="nil"/>
              <w:right w:val="nil"/>
            </w:tcBorders>
            <w:shd w:val="clear" w:color="auto" w:fill="auto"/>
            <w:noWrap/>
            <w:vAlign w:val="bottom"/>
            <w:hideMark/>
          </w:tcPr>
          <w:p w14:paraId="661D0A5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101</w:t>
            </w:r>
          </w:p>
        </w:tc>
        <w:tc>
          <w:tcPr>
            <w:tcW w:w="724" w:type="dxa"/>
            <w:tcBorders>
              <w:top w:val="nil"/>
              <w:left w:val="nil"/>
              <w:bottom w:val="nil"/>
              <w:right w:val="nil"/>
            </w:tcBorders>
            <w:shd w:val="clear" w:color="auto" w:fill="auto"/>
            <w:noWrap/>
            <w:vAlign w:val="bottom"/>
            <w:hideMark/>
          </w:tcPr>
          <w:p w14:paraId="0323354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78</w:t>
            </w:r>
          </w:p>
        </w:tc>
        <w:tc>
          <w:tcPr>
            <w:tcW w:w="723" w:type="dxa"/>
            <w:tcBorders>
              <w:top w:val="nil"/>
              <w:left w:val="nil"/>
              <w:bottom w:val="nil"/>
              <w:right w:val="nil"/>
            </w:tcBorders>
            <w:shd w:val="clear" w:color="auto" w:fill="auto"/>
            <w:noWrap/>
            <w:vAlign w:val="bottom"/>
            <w:hideMark/>
          </w:tcPr>
          <w:p w14:paraId="78C0A88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43</w:t>
            </w:r>
          </w:p>
        </w:tc>
        <w:tc>
          <w:tcPr>
            <w:tcW w:w="723" w:type="dxa"/>
            <w:tcBorders>
              <w:top w:val="nil"/>
              <w:left w:val="nil"/>
              <w:bottom w:val="nil"/>
              <w:right w:val="nil"/>
            </w:tcBorders>
            <w:shd w:val="clear" w:color="auto" w:fill="auto"/>
            <w:noWrap/>
            <w:vAlign w:val="bottom"/>
            <w:hideMark/>
          </w:tcPr>
          <w:p w14:paraId="120F4AC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32</w:t>
            </w:r>
          </w:p>
        </w:tc>
        <w:tc>
          <w:tcPr>
            <w:tcW w:w="723" w:type="dxa"/>
            <w:tcBorders>
              <w:top w:val="nil"/>
              <w:left w:val="nil"/>
              <w:bottom w:val="nil"/>
              <w:right w:val="nil"/>
            </w:tcBorders>
            <w:shd w:val="clear" w:color="auto" w:fill="auto"/>
            <w:noWrap/>
            <w:vAlign w:val="bottom"/>
            <w:hideMark/>
          </w:tcPr>
          <w:p w14:paraId="6FB449C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w:t>
            </w:r>
          </w:p>
        </w:tc>
        <w:tc>
          <w:tcPr>
            <w:tcW w:w="723" w:type="dxa"/>
            <w:tcBorders>
              <w:top w:val="nil"/>
              <w:left w:val="nil"/>
              <w:bottom w:val="nil"/>
              <w:right w:val="single" w:sz="4" w:space="0" w:color="auto"/>
            </w:tcBorders>
            <w:shd w:val="clear" w:color="auto" w:fill="auto"/>
            <w:noWrap/>
            <w:vAlign w:val="bottom"/>
            <w:hideMark/>
          </w:tcPr>
          <w:p w14:paraId="727FF5F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46</w:t>
            </w:r>
          </w:p>
        </w:tc>
        <w:tc>
          <w:tcPr>
            <w:tcW w:w="680" w:type="dxa"/>
            <w:tcBorders>
              <w:top w:val="nil"/>
              <w:left w:val="nil"/>
              <w:bottom w:val="nil"/>
              <w:right w:val="nil"/>
            </w:tcBorders>
            <w:shd w:val="clear" w:color="auto" w:fill="auto"/>
            <w:noWrap/>
            <w:vAlign w:val="bottom"/>
            <w:hideMark/>
          </w:tcPr>
          <w:p w14:paraId="320C036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322</w:t>
            </w:r>
          </w:p>
        </w:tc>
        <w:tc>
          <w:tcPr>
            <w:tcW w:w="1340" w:type="dxa"/>
            <w:tcBorders>
              <w:top w:val="nil"/>
              <w:left w:val="nil"/>
              <w:bottom w:val="nil"/>
              <w:right w:val="nil"/>
            </w:tcBorders>
            <w:shd w:val="clear" w:color="auto" w:fill="auto"/>
            <w:noWrap/>
            <w:vAlign w:val="bottom"/>
            <w:hideMark/>
          </w:tcPr>
          <w:p w14:paraId="11EC992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322</w:t>
            </w:r>
          </w:p>
        </w:tc>
      </w:tr>
      <w:tr w:rsidR="00044023" w:rsidRPr="00044023" w14:paraId="3386F714" w14:textId="77777777" w:rsidTr="00044023">
        <w:trPr>
          <w:trHeight w:val="182"/>
        </w:trPr>
        <w:tc>
          <w:tcPr>
            <w:tcW w:w="960" w:type="dxa"/>
            <w:tcBorders>
              <w:top w:val="nil"/>
              <w:left w:val="nil"/>
              <w:bottom w:val="nil"/>
              <w:right w:val="nil"/>
            </w:tcBorders>
            <w:shd w:val="clear" w:color="auto" w:fill="auto"/>
            <w:noWrap/>
            <w:vAlign w:val="bottom"/>
            <w:hideMark/>
          </w:tcPr>
          <w:p w14:paraId="2591321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1973</w:t>
            </w:r>
          </w:p>
        </w:tc>
        <w:tc>
          <w:tcPr>
            <w:tcW w:w="724" w:type="dxa"/>
            <w:tcBorders>
              <w:top w:val="nil"/>
              <w:left w:val="single" w:sz="4" w:space="0" w:color="auto"/>
              <w:bottom w:val="nil"/>
              <w:right w:val="nil"/>
            </w:tcBorders>
            <w:shd w:val="clear" w:color="auto" w:fill="auto"/>
            <w:noWrap/>
            <w:vAlign w:val="bottom"/>
            <w:hideMark/>
          </w:tcPr>
          <w:p w14:paraId="4E3BFBA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86</w:t>
            </w:r>
          </w:p>
        </w:tc>
        <w:tc>
          <w:tcPr>
            <w:tcW w:w="724" w:type="dxa"/>
            <w:tcBorders>
              <w:top w:val="nil"/>
              <w:left w:val="nil"/>
              <w:bottom w:val="nil"/>
              <w:right w:val="nil"/>
            </w:tcBorders>
            <w:shd w:val="clear" w:color="auto" w:fill="auto"/>
            <w:noWrap/>
            <w:vAlign w:val="bottom"/>
            <w:hideMark/>
          </w:tcPr>
          <w:p w14:paraId="6E31A7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67</w:t>
            </w:r>
          </w:p>
        </w:tc>
        <w:tc>
          <w:tcPr>
            <w:tcW w:w="723" w:type="dxa"/>
            <w:tcBorders>
              <w:top w:val="nil"/>
              <w:left w:val="nil"/>
              <w:bottom w:val="nil"/>
              <w:right w:val="nil"/>
            </w:tcBorders>
            <w:shd w:val="clear" w:color="auto" w:fill="auto"/>
            <w:noWrap/>
            <w:vAlign w:val="bottom"/>
            <w:hideMark/>
          </w:tcPr>
          <w:p w14:paraId="01F3F36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39</w:t>
            </w:r>
          </w:p>
        </w:tc>
        <w:tc>
          <w:tcPr>
            <w:tcW w:w="723" w:type="dxa"/>
            <w:tcBorders>
              <w:top w:val="nil"/>
              <w:left w:val="nil"/>
              <w:bottom w:val="nil"/>
              <w:right w:val="nil"/>
            </w:tcBorders>
            <w:shd w:val="clear" w:color="auto" w:fill="auto"/>
            <w:noWrap/>
            <w:vAlign w:val="bottom"/>
            <w:hideMark/>
          </w:tcPr>
          <w:p w14:paraId="06CD93D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29</w:t>
            </w:r>
          </w:p>
        </w:tc>
        <w:tc>
          <w:tcPr>
            <w:tcW w:w="723" w:type="dxa"/>
            <w:tcBorders>
              <w:top w:val="nil"/>
              <w:left w:val="nil"/>
              <w:bottom w:val="nil"/>
              <w:right w:val="nil"/>
            </w:tcBorders>
            <w:shd w:val="clear" w:color="auto" w:fill="auto"/>
            <w:noWrap/>
            <w:vAlign w:val="bottom"/>
            <w:hideMark/>
          </w:tcPr>
          <w:p w14:paraId="17ADFF7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w:t>
            </w:r>
          </w:p>
        </w:tc>
        <w:tc>
          <w:tcPr>
            <w:tcW w:w="723" w:type="dxa"/>
            <w:tcBorders>
              <w:top w:val="nil"/>
              <w:left w:val="nil"/>
              <w:bottom w:val="nil"/>
              <w:right w:val="single" w:sz="4" w:space="0" w:color="auto"/>
            </w:tcBorders>
            <w:shd w:val="clear" w:color="auto" w:fill="auto"/>
            <w:noWrap/>
            <w:vAlign w:val="bottom"/>
            <w:hideMark/>
          </w:tcPr>
          <w:p w14:paraId="092D7C7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39</w:t>
            </w:r>
          </w:p>
        </w:tc>
        <w:tc>
          <w:tcPr>
            <w:tcW w:w="680" w:type="dxa"/>
            <w:tcBorders>
              <w:top w:val="nil"/>
              <w:left w:val="nil"/>
              <w:bottom w:val="nil"/>
              <w:right w:val="nil"/>
            </w:tcBorders>
            <w:shd w:val="clear" w:color="auto" w:fill="auto"/>
            <w:noWrap/>
            <w:vAlign w:val="bottom"/>
            <w:hideMark/>
          </w:tcPr>
          <w:p w14:paraId="310BC2F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279</w:t>
            </w:r>
          </w:p>
        </w:tc>
        <w:tc>
          <w:tcPr>
            <w:tcW w:w="1340" w:type="dxa"/>
            <w:tcBorders>
              <w:top w:val="nil"/>
              <w:left w:val="nil"/>
              <w:bottom w:val="nil"/>
              <w:right w:val="nil"/>
            </w:tcBorders>
            <w:shd w:val="clear" w:color="auto" w:fill="auto"/>
            <w:noWrap/>
            <w:vAlign w:val="bottom"/>
            <w:hideMark/>
          </w:tcPr>
          <w:p w14:paraId="2B428F7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601</w:t>
            </w:r>
          </w:p>
        </w:tc>
      </w:tr>
      <w:tr w:rsidR="00044023" w:rsidRPr="00044023" w14:paraId="36EBD519" w14:textId="77777777" w:rsidTr="00044023">
        <w:trPr>
          <w:trHeight w:val="73"/>
        </w:trPr>
        <w:tc>
          <w:tcPr>
            <w:tcW w:w="960" w:type="dxa"/>
            <w:tcBorders>
              <w:top w:val="nil"/>
              <w:left w:val="nil"/>
              <w:bottom w:val="nil"/>
              <w:right w:val="nil"/>
            </w:tcBorders>
            <w:shd w:val="clear" w:color="auto" w:fill="auto"/>
            <w:noWrap/>
            <w:vAlign w:val="bottom"/>
            <w:hideMark/>
          </w:tcPr>
          <w:p w14:paraId="5BC17B7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1974</w:t>
            </w:r>
          </w:p>
        </w:tc>
        <w:tc>
          <w:tcPr>
            <w:tcW w:w="724" w:type="dxa"/>
            <w:tcBorders>
              <w:top w:val="nil"/>
              <w:left w:val="single" w:sz="4" w:space="0" w:color="auto"/>
              <w:bottom w:val="nil"/>
              <w:right w:val="nil"/>
            </w:tcBorders>
            <w:shd w:val="clear" w:color="auto" w:fill="auto"/>
            <w:noWrap/>
            <w:vAlign w:val="bottom"/>
            <w:hideMark/>
          </w:tcPr>
          <w:p w14:paraId="28AB5BF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73</w:t>
            </w:r>
          </w:p>
        </w:tc>
        <w:tc>
          <w:tcPr>
            <w:tcW w:w="724" w:type="dxa"/>
            <w:tcBorders>
              <w:top w:val="nil"/>
              <w:left w:val="nil"/>
              <w:bottom w:val="nil"/>
              <w:right w:val="nil"/>
            </w:tcBorders>
            <w:shd w:val="clear" w:color="auto" w:fill="auto"/>
            <w:noWrap/>
            <w:vAlign w:val="bottom"/>
            <w:hideMark/>
          </w:tcPr>
          <w:p w14:paraId="50F3E3F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58</w:t>
            </w:r>
          </w:p>
        </w:tc>
        <w:tc>
          <w:tcPr>
            <w:tcW w:w="723" w:type="dxa"/>
            <w:tcBorders>
              <w:top w:val="nil"/>
              <w:left w:val="nil"/>
              <w:bottom w:val="nil"/>
              <w:right w:val="nil"/>
            </w:tcBorders>
            <w:shd w:val="clear" w:color="auto" w:fill="auto"/>
            <w:noWrap/>
            <w:vAlign w:val="bottom"/>
            <w:hideMark/>
          </w:tcPr>
          <w:p w14:paraId="377CDD9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34</w:t>
            </w:r>
          </w:p>
        </w:tc>
        <w:tc>
          <w:tcPr>
            <w:tcW w:w="723" w:type="dxa"/>
            <w:tcBorders>
              <w:top w:val="nil"/>
              <w:left w:val="nil"/>
              <w:bottom w:val="nil"/>
              <w:right w:val="nil"/>
            </w:tcBorders>
            <w:shd w:val="clear" w:color="auto" w:fill="auto"/>
            <w:noWrap/>
            <w:vAlign w:val="bottom"/>
            <w:hideMark/>
          </w:tcPr>
          <w:p w14:paraId="4C4D841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w:t>
            </w:r>
          </w:p>
        </w:tc>
        <w:tc>
          <w:tcPr>
            <w:tcW w:w="723" w:type="dxa"/>
            <w:tcBorders>
              <w:top w:val="nil"/>
              <w:left w:val="nil"/>
              <w:bottom w:val="nil"/>
              <w:right w:val="nil"/>
            </w:tcBorders>
            <w:shd w:val="clear" w:color="auto" w:fill="auto"/>
            <w:noWrap/>
            <w:vAlign w:val="bottom"/>
            <w:hideMark/>
          </w:tcPr>
          <w:p w14:paraId="54D0E32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17</w:t>
            </w:r>
          </w:p>
        </w:tc>
        <w:tc>
          <w:tcPr>
            <w:tcW w:w="723" w:type="dxa"/>
            <w:tcBorders>
              <w:top w:val="nil"/>
              <w:left w:val="nil"/>
              <w:bottom w:val="nil"/>
              <w:right w:val="single" w:sz="4" w:space="0" w:color="auto"/>
            </w:tcBorders>
            <w:shd w:val="clear" w:color="auto" w:fill="auto"/>
            <w:noWrap/>
            <w:vAlign w:val="bottom"/>
            <w:hideMark/>
          </w:tcPr>
          <w:p w14:paraId="6CA6707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34</w:t>
            </w:r>
          </w:p>
        </w:tc>
        <w:tc>
          <w:tcPr>
            <w:tcW w:w="680" w:type="dxa"/>
            <w:tcBorders>
              <w:top w:val="nil"/>
              <w:left w:val="nil"/>
              <w:bottom w:val="nil"/>
              <w:right w:val="nil"/>
            </w:tcBorders>
            <w:shd w:val="clear" w:color="auto" w:fill="auto"/>
            <w:noWrap/>
            <w:vAlign w:val="bottom"/>
            <w:hideMark/>
          </w:tcPr>
          <w:p w14:paraId="483521E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243</w:t>
            </w:r>
          </w:p>
        </w:tc>
        <w:tc>
          <w:tcPr>
            <w:tcW w:w="1340" w:type="dxa"/>
            <w:tcBorders>
              <w:top w:val="nil"/>
              <w:left w:val="nil"/>
              <w:bottom w:val="nil"/>
              <w:right w:val="nil"/>
            </w:tcBorders>
            <w:shd w:val="clear" w:color="auto" w:fill="auto"/>
            <w:noWrap/>
            <w:vAlign w:val="bottom"/>
            <w:hideMark/>
          </w:tcPr>
          <w:p w14:paraId="396370D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844</w:t>
            </w:r>
          </w:p>
        </w:tc>
      </w:tr>
      <w:tr w:rsidR="00044023" w:rsidRPr="00044023" w14:paraId="3C8188AE" w14:textId="77777777" w:rsidTr="00044023">
        <w:trPr>
          <w:trHeight w:val="68"/>
        </w:trPr>
        <w:tc>
          <w:tcPr>
            <w:tcW w:w="960" w:type="dxa"/>
            <w:tcBorders>
              <w:top w:val="nil"/>
              <w:left w:val="nil"/>
              <w:bottom w:val="nil"/>
              <w:right w:val="nil"/>
            </w:tcBorders>
            <w:shd w:val="clear" w:color="auto" w:fill="auto"/>
            <w:noWrap/>
            <w:vAlign w:val="bottom"/>
            <w:hideMark/>
          </w:tcPr>
          <w:p w14:paraId="105AEB6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1975</w:t>
            </w:r>
          </w:p>
        </w:tc>
        <w:tc>
          <w:tcPr>
            <w:tcW w:w="724" w:type="dxa"/>
            <w:tcBorders>
              <w:top w:val="nil"/>
              <w:left w:val="single" w:sz="4" w:space="0" w:color="auto"/>
              <w:bottom w:val="nil"/>
              <w:right w:val="nil"/>
            </w:tcBorders>
            <w:shd w:val="clear" w:color="auto" w:fill="auto"/>
            <w:noWrap/>
            <w:vAlign w:val="bottom"/>
            <w:hideMark/>
          </w:tcPr>
          <w:p w14:paraId="0B04FD8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64</w:t>
            </w:r>
          </w:p>
        </w:tc>
        <w:tc>
          <w:tcPr>
            <w:tcW w:w="724" w:type="dxa"/>
            <w:tcBorders>
              <w:top w:val="nil"/>
              <w:left w:val="nil"/>
              <w:bottom w:val="nil"/>
              <w:right w:val="nil"/>
            </w:tcBorders>
            <w:shd w:val="clear" w:color="auto" w:fill="auto"/>
            <w:noWrap/>
            <w:vAlign w:val="bottom"/>
            <w:hideMark/>
          </w:tcPr>
          <w:p w14:paraId="597DC46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50</w:t>
            </w:r>
          </w:p>
        </w:tc>
        <w:tc>
          <w:tcPr>
            <w:tcW w:w="723" w:type="dxa"/>
            <w:tcBorders>
              <w:top w:val="nil"/>
              <w:left w:val="nil"/>
              <w:bottom w:val="nil"/>
              <w:right w:val="nil"/>
            </w:tcBorders>
            <w:shd w:val="clear" w:color="auto" w:fill="auto"/>
            <w:noWrap/>
            <w:vAlign w:val="bottom"/>
            <w:hideMark/>
          </w:tcPr>
          <w:p w14:paraId="48E3B5D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30</w:t>
            </w:r>
          </w:p>
        </w:tc>
        <w:tc>
          <w:tcPr>
            <w:tcW w:w="723" w:type="dxa"/>
            <w:tcBorders>
              <w:top w:val="nil"/>
              <w:left w:val="nil"/>
              <w:bottom w:val="nil"/>
              <w:right w:val="nil"/>
            </w:tcBorders>
            <w:shd w:val="clear" w:color="auto" w:fill="auto"/>
            <w:noWrap/>
            <w:vAlign w:val="bottom"/>
            <w:hideMark/>
          </w:tcPr>
          <w:p w14:paraId="62C516C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23</w:t>
            </w:r>
          </w:p>
        </w:tc>
        <w:tc>
          <w:tcPr>
            <w:tcW w:w="723" w:type="dxa"/>
            <w:tcBorders>
              <w:top w:val="nil"/>
              <w:left w:val="nil"/>
              <w:bottom w:val="nil"/>
              <w:right w:val="nil"/>
            </w:tcBorders>
            <w:shd w:val="clear" w:color="auto" w:fill="auto"/>
            <w:noWrap/>
            <w:vAlign w:val="bottom"/>
            <w:hideMark/>
          </w:tcPr>
          <w:p w14:paraId="3E07F0A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w:t>
            </w:r>
          </w:p>
        </w:tc>
        <w:tc>
          <w:tcPr>
            <w:tcW w:w="723" w:type="dxa"/>
            <w:tcBorders>
              <w:top w:val="nil"/>
              <w:left w:val="nil"/>
              <w:bottom w:val="nil"/>
              <w:right w:val="single" w:sz="4" w:space="0" w:color="auto"/>
            </w:tcBorders>
            <w:shd w:val="clear" w:color="auto" w:fill="auto"/>
            <w:noWrap/>
            <w:vAlign w:val="bottom"/>
            <w:hideMark/>
          </w:tcPr>
          <w:p w14:paraId="51A7925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30</w:t>
            </w:r>
          </w:p>
        </w:tc>
        <w:tc>
          <w:tcPr>
            <w:tcW w:w="680" w:type="dxa"/>
            <w:tcBorders>
              <w:top w:val="nil"/>
              <w:left w:val="nil"/>
              <w:bottom w:val="nil"/>
              <w:right w:val="nil"/>
            </w:tcBorders>
            <w:shd w:val="clear" w:color="auto" w:fill="auto"/>
            <w:noWrap/>
            <w:vAlign w:val="bottom"/>
            <w:hideMark/>
          </w:tcPr>
          <w:p w14:paraId="24A576A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212</w:t>
            </w:r>
          </w:p>
        </w:tc>
        <w:tc>
          <w:tcPr>
            <w:tcW w:w="1340" w:type="dxa"/>
            <w:tcBorders>
              <w:top w:val="nil"/>
              <w:left w:val="nil"/>
              <w:bottom w:val="nil"/>
              <w:right w:val="nil"/>
            </w:tcBorders>
            <w:shd w:val="clear" w:color="auto" w:fill="auto"/>
            <w:noWrap/>
            <w:vAlign w:val="bottom"/>
            <w:hideMark/>
          </w:tcPr>
          <w:p w14:paraId="7AC6ED1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1056</w:t>
            </w:r>
          </w:p>
        </w:tc>
      </w:tr>
      <w:tr w:rsidR="00044023" w:rsidRPr="00044023" w14:paraId="0ED7732A" w14:textId="77777777" w:rsidTr="00044023">
        <w:trPr>
          <w:trHeight w:val="68"/>
        </w:trPr>
        <w:tc>
          <w:tcPr>
            <w:tcW w:w="960" w:type="dxa"/>
            <w:tcBorders>
              <w:top w:val="nil"/>
              <w:left w:val="nil"/>
              <w:bottom w:val="nil"/>
              <w:right w:val="nil"/>
            </w:tcBorders>
            <w:shd w:val="clear" w:color="auto" w:fill="auto"/>
            <w:noWrap/>
            <w:vAlign w:val="bottom"/>
            <w:hideMark/>
          </w:tcPr>
          <w:p w14:paraId="50655D7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1976</w:t>
            </w:r>
          </w:p>
        </w:tc>
        <w:tc>
          <w:tcPr>
            <w:tcW w:w="724" w:type="dxa"/>
            <w:tcBorders>
              <w:top w:val="nil"/>
              <w:left w:val="single" w:sz="4" w:space="0" w:color="auto"/>
              <w:bottom w:val="nil"/>
              <w:right w:val="nil"/>
            </w:tcBorders>
            <w:shd w:val="clear" w:color="auto" w:fill="auto"/>
            <w:noWrap/>
            <w:vAlign w:val="bottom"/>
            <w:hideMark/>
          </w:tcPr>
          <w:p w14:paraId="5BBE96E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56</w:t>
            </w:r>
          </w:p>
        </w:tc>
        <w:tc>
          <w:tcPr>
            <w:tcW w:w="724" w:type="dxa"/>
            <w:tcBorders>
              <w:top w:val="nil"/>
              <w:left w:val="nil"/>
              <w:bottom w:val="nil"/>
              <w:right w:val="nil"/>
            </w:tcBorders>
            <w:shd w:val="clear" w:color="auto" w:fill="auto"/>
            <w:noWrap/>
            <w:vAlign w:val="bottom"/>
            <w:hideMark/>
          </w:tcPr>
          <w:p w14:paraId="39B040D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43</w:t>
            </w:r>
          </w:p>
        </w:tc>
        <w:tc>
          <w:tcPr>
            <w:tcW w:w="723" w:type="dxa"/>
            <w:tcBorders>
              <w:top w:val="nil"/>
              <w:left w:val="nil"/>
              <w:bottom w:val="nil"/>
              <w:right w:val="nil"/>
            </w:tcBorders>
            <w:shd w:val="clear" w:color="auto" w:fill="auto"/>
            <w:noWrap/>
            <w:vAlign w:val="bottom"/>
            <w:hideMark/>
          </w:tcPr>
          <w:p w14:paraId="39B4239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w:t>
            </w:r>
          </w:p>
        </w:tc>
        <w:tc>
          <w:tcPr>
            <w:tcW w:w="723" w:type="dxa"/>
            <w:tcBorders>
              <w:top w:val="nil"/>
              <w:left w:val="nil"/>
              <w:bottom w:val="nil"/>
              <w:right w:val="nil"/>
            </w:tcBorders>
            <w:shd w:val="clear" w:color="auto" w:fill="auto"/>
            <w:noWrap/>
            <w:vAlign w:val="bottom"/>
            <w:hideMark/>
          </w:tcPr>
          <w:p w14:paraId="4EC532A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21</w:t>
            </w:r>
          </w:p>
        </w:tc>
        <w:tc>
          <w:tcPr>
            <w:tcW w:w="723" w:type="dxa"/>
            <w:tcBorders>
              <w:top w:val="nil"/>
              <w:left w:val="nil"/>
              <w:bottom w:val="nil"/>
              <w:right w:val="nil"/>
            </w:tcBorders>
            <w:shd w:val="clear" w:color="auto" w:fill="auto"/>
            <w:noWrap/>
            <w:vAlign w:val="bottom"/>
            <w:hideMark/>
          </w:tcPr>
          <w:p w14:paraId="7E34838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723" w:type="dxa"/>
            <w:tcBorders>
              <w:top w:val="nil"/>
              <w:left w:val="nil"/>
              <w:bottom w:val="nil"/>
              <w:right w:val="single" w:sz="4" w:space="0" w:color="auto"/>
            </w:tcBorders>
            <w:shd w:val="clear" w:color="auto" w:fill="auto"/>
            <w:noWrap/>
            <w:vAlign w:val="bottom"/>
            <w:hideMark/>
          </w:tcPr>
          <w:p w14:paraId="3FA7F7D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w:t>
            </w:r>
          </w:p>
        </w:tc>
        <w:tc>
          <w:tcPr>
            <w:tcW w:w="680" w:type="dxa"/>
            <w:tcBorders>
              <w:top w:val="nil"/>
              <w:left w:val="nil"/>
              <w:bottom w:val="nil"/>
              <w:right w:val="nil"/>
            </w:tcBorders>
            <w:shd w:val="clear" w:color="auto" w:fill="auto"/>
            <w:noWrap/>
            <w:vAlign w:val="bottom"/>
            <w:hideMark/>
          </w:tcPr>
          <w:p w14:paraId="29DAD1F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186</w:t>
            </w:r>
          </w:p>
        </w:tc>
        <w:tc>
          <w:tcPr>
            <w:tcW w:w="1340" w:type="dxa"/>
            <w:tcBorders>
              <w:top w:val="nil"/>
              <w:left w:val="nil"/>
              <w:bottom w:val="nil"/>
              <w:right w:val="nil"/>
            </w:tcBorders>
            <w:shd w:val="clear" w:color="auto" w:fill="auto"/>
            <w:noWrap/>
            <w:vAlign w:val="bottom"/>
            <w:hideMark/>
          </w:tcPr>
          <w:p w14:paraId="4AB4A2D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1242</w:t>
            </w:r>
          </w:p>
        </w:tc>
      </w:tr>
      <w:tr w:rsidR="00044023" w:rsidRPr="00044023" w14:paraId="5FDB6802" w14:textId="77777777" w:rsidTr="00044023">
        <w:trPr>
          <w:trHeight w:val="68"/>
        </w:trPr>
        <w:tc>
          <w:tcPr>
            <w:tcW w:w="960" w:type="dxa"/>
            <w:tcBorders>
              <w:top w:val="nil"/>
              <w:left w:val="nil"/>
              <w:bottom w:val="nil"/>
              <w:right w:val="nil"/>
            </w:tcBorders>
            <w:shd w:val="clear" w:color="auto" w:fill="auto"/>
            <w:noWrap/>
            <w:vAlign w:val="bottom"/>
            <w:hideMark/>
          </w:tcPr>
          <w:p w14:paraId="7A69C50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1977</w:t>
            </w:r>
          </w:p>
        </w:tc>
        <w:tc>
          <w:tcPr>
            <w:tcW w:w="724" w:type="dxa"/>
            <w:tcBorders>
              <w:top w:val="nil"/>
              <w:left w:val="single" w:sz="4" w:space="0" w:color="auto"/>
              <w:bottom w:val="nil"/>
              <w:right w:val="nil"/>
            </w:tcBorders>
            <w:shd w:val="clear" w:color="auto" w:fill="auto"/>
            <w:noWrap/>
            <w:vAlign w:val="bottom"/>
            <w:hideMark/>
          </w:tcPr>
          <w:p w14:paraId="46B9B02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49</w:t>
            </w:r>
          </w:p>
        </w:tc>
        <w:tc>
          <w:tcPr>
            <w:tcW w:w="724" w:type="dxa"/>
            <w:tcBorders>
              <w:top w:val="nil"/>
              <w:left w:val="nil"/>
              <w:bottom w:val="nil"/>
              <w:right w:val="nil"/>
            </w:tcBorders>
            <w:shd w:val="clear" w:color="auto" w:fill="auto"/>
            <w:noWrap/>
            <w:vAlign w:val="bottom"/>
            <w:hideMark/>
          </w:tcPr>
          <w:p w14:paraId="5CA6E08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38</w:t>
            </w:r>
          </w:p>
        </w:tc>
        <w:tc>
          <w:tcPr>
            <w:tcW w:w="723" w:type="dxa"/>
            <w:tcBorders>
              <w:top w:val="nil"/>
              <w:left w:val="nil"/>
              <w:bottom w:val="nil"/>
              <w:right w:val="nil"/>
            </w:tcBorders>
            <w:shd w:val="clear" w:color="auto" w:fill="auto"/>
            <w:noWrap/>
            <w:vAlign w:val="bottom"/>
            <w:hideMark/>
          </w:tcPr>
          <w:p w14:paraId="0901065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23</w:t>
            </w:r>
          </w:p>
        </w:tc>
        <w:tc>
          <w:tcPr>
            <w:tcW w:w="723" w:type="dxa"/>
            <w:tcBorders>
              <w:top w:val="nil"/>
              <w:left w:val="nil"/>
              <w:bottom w:val="nil"/>
              <w:right w:val="nil"/>
            </w:tcBorders>
            <w:shd w:val="clear" w:color="auto" w:fill="auto"/>
            <w:noWrap/>
            <w:vAlign w:val="bottom"/>
            <w:hideMark/>
          </w:tcPr>
          <w:p w14:paraId="075C38C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w:t>
            </w:r>
          </w:p>
        </w:tc>
        <w:tc>
          <w:tcPr>
            <w:tcW w:w="723" w:type="dxa"/>
            <w:tcBorders>
              <w:top w:val="nil"/>
              <w:left w:val="nil"/>
              <w:bottom w:val="nil"/>
              <w:right w:val="nil"/>
            </w:tcBorders>
            <w:shd w:val="clear" w:color="auto" w:fill="auto"/>
            <w:noWrap/>
            <w:vAlign w:val="bottom"/>
            <w:hideMark/>
          </w:tcPr>
          <w:p w14:paraId="77FA0A1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12</w:t>
            </w:r>
          </w:p>
        </w:tc>
        <w:tc>
          <w:tcPr>
            <w:tcW w:w="723" w:type="dxa"/>
            <w:tcBorders>
              <w:top w:val="nil"/>
              <w:left w:val="nil"/>
              <w:bottom w:val="nil"/>
              <w:right w:val="single" w:sz="4" w:space="0" w:color="auto"/>
            </w:tcBorders>
            <w:shd w:val="clear" w:color="auto" w:fill="auto"/>
            <w:noWrap/>
            <w:vAlign w:val="bottom"/>
            <w:hideMark/>
          </w:tcPr>
          <w:p w14:paraId="4E622D9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23</w:t>
            </w:r>
          </w:p>
        </w:tc>
        <w:tc>
          <w:tcPr>
            <w:tcW w:w="680" w:type="dxa"/>
            <w:tcBorders>
              <w:top w:val="nil"/>
              <w:left w:val="nil"/>
              <w:bottom w:val="nil"/>
              <w:right w:val="nil"/>
            </w:tcBorders>
            <w:shd w:val="clear" w:color="auto" w:fill="auto"/>
            <w:noWrap/>
            <w:vAlign w:val="bottom"/>
            <w:hideMark/>
          </w:tcPr>
          <w:p w14:paraId="277B98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164</w:t>
            </w:r>
          </w:p>
        </w:tc>
        <w:tc>
          <w:tcPr>
            <w:tcW w:w="1340" w:type="dxa"/>
            <w:tcBorders>
              <w:top w:val="nil"/>
              <w:left w:val="nil"/>
              <w:bottom w:val="nil"/>
              <w:right w:val="nil"/>
            </w:tcBorders>
            <w:shd w:val="clear" w:color="auto" w:fill="auto"/>
            <w:noWrap/>
            <w:vAlign w:val="bottom"/>
            <w:hideMark/>
          </w:tcPr>
          <w:p w14:paraId="4B964B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1407</w:t>
            </w:r>
          </w:p>
        </w:tc>
      </w:tr>
      <w:tr w:rsidR="00044023" w:rsidRPr="00044023" w14:paraId="740F0686" w14:textId="77777777" w:rsidTr="00044023">
        <w:trPr>
          <w:trHeight w:val="68"/>
        </w:trPr>
        <w:tc>
          <w:tcPr>
            <w:tcW w:w="960" w:type="dxa"/>
            <w:tcBorders>
              <w:top w:val="nil"/>
              <w:left w:val="nil"/>
              <w:bottom w:val="nil"/>
              <w:right w:val="nil"/>
            </w:tcBorders>
            <w:shd w:val="clear" w:color="auto" w:fill="auto"/>
            <w:noWrap/>
            <w:vAlign w:val="bottom"/>
            <w:hideMark/>
          </w:tcPr>
          <w:p w14:paraId="7F31EDE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1978</w:t>
            </w:r>
          </w:p>
        </w:tc>
        <w:tc>
          <w:tcPr>
            <w:tcW w:w="724" w:type="dxa"/>
            <w:tcBorders>
              <w:top w:val="nil"/>
              <w:left w:val="single" w:sz="4" w:space="0" w:color="auto"/>
              <w:bottom w:val="nil"/>
              <w:right w:val="nil"/>
            </w:tcBorders>
            <w:shd w:val="clear" w:color="auto" w:fill="auto"/>
            <w:noWrap/>
            <w:vAlign w:val="bottom"/>
            <w:hideMark/>
          </w:tcPr>
          <w:p w14:paraId="3980238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44</w:t>
            </w:r>
          </w:p>
        </w:tc>
        <w:tc>
          <w:tcPr>
            <w:tcW w:w="724" w:type="dxa"/>
            <w:tcBorders>
              <w:top w:val="nil"/>
              <w:left w:val="nil"/>
              <w:bottom w:val="nil"/>
              <w:right w:val="nil"/>
            </w:tcBorders>
            <w:shd w:val="clear" w:color="auto" w:fill="auto"/>
            <w:noWrap/>
            <w:vAlign w:val="bottom"/>
            <w:hideMark/>
          </w:tcPr>
          <w:p w14:paraId="03DF30C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34</w:t>
            </w:r>
          </w:p>
        </w:tc>
        <w:tc>
          <w:tcPr>
            <w:tcW w:w="723" w:type="dxa"/>
            <w:tcBorders>
              <w:top w:val="nil"/>
              <w:left w:val="nil"/>
              <w:bottom w:val="nil"/>
              <w:right w:val="nil"/>
            </w:tcBorders>
            <w:shd w:val="clear" w:color="auto" w:fill="auto"/>
            <w:noWrap/>
            <w:vAlign w:val="bottom"/>
            <w:hideMark/>
          </w:tcPr>
          <w:p w14:paraId="245F3A7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w:t>
            </w:r>
          </w:p>
        </w:tc>
        <w:tc>
          <w:tcPr>
            <w:tcW w:w="723" w:type="dxa"/>
            <w:tcBorders>
              <w:top w:val="nil"/>
              <w:left w:val="nil"/>
              <w:bottom w:val="nil"/>
              <w:right w:val="nil"/>
            </w:tcBorders>
            <w:shd w:val="clear" w:color="auto" w:fill="auto"/>
            <w:noWrap/>
            <w:vAlign w:val="bottom"/>
            <w:hideMark/>
          </w:tcPr>
          <w:p w14:paraId="745341A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17</w:t>
            </w:r>
          </w:p>
        </w:tc>
        <w:tc>
          <w:tcPr>
            <w:tcW w:w="723" w:type="dxa"/>
            <w:tcBorders>
              <w:top w:val="nil"/>
              <w:left w:val="nil"/>
              <w:bottom w:val="nil"/>
              <w:right w:val="nil"/>
            </w:tcBorders>
            <w:shd w:val="clear" w:color="auto" w:fill="auto"/>
            <w:noWrap/>
            <w:vAlign w:val="bottom"/>
            <w:hideMark/>
          </w:tcPr>
          <w:p w14:paraId="390A434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723" w:type="dxa"/>
            <w:tcBorders>
              <w:top w:val="nil"/>
              <w:left w:val="nil"/>
              <w:bottom w:val="nil"/>
              <w:right w:val="single" w:sz="4" w:space="0" w:color="auto"/>
            </w:tcBorders>
            <w:shd w:val="clear" w:color="auto" w:fill="auto"/>
            <w:noWrap/>
            <w:vAlign w:val="bottom"/>
            <w:hideMark/>
          </w:tcPr>
          <w:p w14:paraId="59C43A8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w:t>
            </w:r>
          </w:p>
        </w:tc>
        <w:tc>
          <w:tcPr>
            <w:tcW w:w="680" w:type="dxa"/>
            <w:tcBorders>
              <w:top w:val="nil"/>
              <w:left w:val="nil"/>
              <w:bottom w:val="nil"/>
              <w:right w:val="nil"/>
            </w:tcBorders>
            <w:shd w:val="clear" w:color="auto" w:fill="auto"/>
            <w:noWrap/>
            <w:vAlign w:val="bottom"/>
            <w:hideMark/>
          </w:tcPr>
          <w:p w14:paraId="58066CA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146</w:t>
            </w:r>
          </w:p>
        </w:tc>
        <w:tc>
          <w:tcPr>
            <w:tcW w:w="1340" w:type="dxa"/>
            <w:tcBorders>
              <w:top w:val="nil"/>
              <w:left w:val="nil"/>
              <w:bottom w:val="nil"/>
              <w:right w:val="nil"/>
            </w:tcBorders>
            <w:shd w:val="clear" w:color="auto" w:fill="auto"/>
            <w:noWrap/>
            <w:vAlign w:val="bottom"/>
            <w:hideMark/>
          </w:tcPr>
          <w:p w14:paraId="0982A56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1552</w:t>
            </w:r>
          </w:p>
        </w:tc>
      </w:tr>
      <w:tr w:rsidR="00044023" w:rsidRPr="00044023" w14:paraId="34F53E67" w14:textId="77777777" w:rsidTr="00044023">
        <w:trPr>
          <w:trHeight w:val="68"/>
        </w:trPr>
        <w:tc>
          <w:tcPr>
            <w:tcW w:w="960" w:type="dxa"/>
            <w:tcBorders>
              <w:top w:val="nil"/>
              <w:left w:val="nil"/>
              <w:bottom w:val="nil"/>
              <w:right w:val="nil"/>
            </w:tcBorders>
            <w:shd w:val="clear" w:color="auto" w:fill="auto"/>
            <w:noWrap/>
            <w:vAlign w:val="bottom"/>
            <w:hideMark/>
          </w:tcPr>
          <w:p w14:paraId="7F7A3AC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1979</w:t>
            </w:r>
          </w:p>
        </w:tc>
        <w:tc>
          <w:tcPr>
            <w:tcW w:w="724" w:type="dxa"/>
            <w:tcBorders>
              <w:top w:val="nil"/>
              <w:left w:val="single" w:sz="4" w:space="0" w:color="auto"/>
              <w:bottom w:val="nil"/>
              <w:right w:val="nil"/>
            </w:tcBorders>
            <w:shd w:val="clear" w:color="auto" w:fill="auto"/>
            <w:noWrap/>
            <w:vAlign w:val="bottom"/>
            <w:hideMark/>
          </w:tcPr>
          <w:p w14:paraId="0F2E37D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39</w:t>
            </w:r>
          </w:p>
        </w:tc>
        <w:tc>
          <w:tcPr>
            <w:tcW w:w="724" w:type="dxa"/>
            <w:tcBorders>
              <w:top w:val="nil"/>
              <w:left w:val="nil"/>
              <w:bottom w:val="nil"/>
              <w:right w:val="nil"/>
            </w:tcBorders>
            <w:shd w:val="clear" w:color="auto" w:fill="auto"/>
            <w:noWrap/>
            <w:vAlign w:val="bottom"/>
            <w:hideMark/>
          </w:tcPr>
          <w:p w14:paraId="7B201E1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30</w:t>
            </w:r>
          </w:p>
        </w:tc>
        <w:tc>
          <w:tcPr>
            <w:tcW w:w="723" w:type="dxa"/>
            <w:tcBorders>
              <w:top w:val="nil"/>
              <w:left w:val="nil"/>
              <w:bottom w:val="nil"/>
              <w:right w:val="nil"/>
            </w:tcBorders>
            <w:shd w:val="clear" w:color="auto" w:fill="auto"/>
            <w:noWrap/>
            <w:vAlign w:val="bottom"/>
            <w:hideMark/>
          </w:tcPr>
          <w:p w14:paraId="1A2E8DE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18</w:t>
            </w:r>
          </w:p>
        </w:tc>
        <w:tc>
          <w:tcPr>
            <w:tcW w:w="723" w:type="dxa"/>
            <w:tcBorders>
              <w:top w:val="nil"/>
              <w:left w:val="nil"/>
              <w:bottom w:val="nil"/>
              <w:right w:val="nil"/>
            </w:tcBorders>
            <w:shd w:val="clear" w:color="auto" w:fill="auto"/>
            <w:noWrap/>
            <w:vAlign w:val="bottom"/>
            <w:hideMark/>
          </w:tcPr>
          <w:p w14:paraId="0705B59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w:t>
            </w:r>
          </w:p>
        </w:tc>
        <w:tc>
          <w:tcPr>
            <w:tcW w:w="723" w:type="dxa"/>
            <w:tcBorders>
              <w:top w:val="nil"/>
              <w:left w:val="nil"/>
              <w:bottom w:val="nil"/>
              <w:right w:val="nil"/>
            </w:tcBorders>
            <w:shd w:val="clear" w:color="auto" w:fill="auto"/>
            <w:noWrap/>
            <w:vAlign w:val="bottom"/>
            <w:hideMark/>
          </w:tcPr>
          <w:p w14:paraId="011485A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723" w:type="dxa"/>
            <w:tcBorders>
              <w:top w:val="nil"/>
              <w:left w:val="nil"/>
              <w:bottom w:val="nil"/>
              <w:right w:val="single" w:sz="4" w:space="0" w:color="auto"/>
            </w:tcBorders>
            <w:shd w:val="clear" w:color="auto" w:fill="auto"/>
            <w:noWrap/>
            <w:vAlign w:val="bottom"/>
            <w:hideMark/>
          </w:tcPr>
          <w:p w14:paraId="0B580DB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18</w:t>
            </w:r>
          </w:p>
        </w:tc>
        <w:tc>
          <w:tcPr>
            <w:tcW w:w="680" w:type="dxa"/>
            <w:tcBorders>
              <w:top w:val="nil"/>
              <w:left w:val="nil"/>
              <w:bottom w:val="nil"/>
              <w:right w:val="nil"/>
            </w:tcBorders>
            <w:shd w:val="clear" w:color="auto" w:fill="auto"/>
            <w:noWrap/>
            <w:vAlign w:val="bottom"/>
            <w:hideMark/>
          </w:tcPr>
          <w:p w14:paraId="4C1217B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130</w:t>
            </w:r>
          </w:p>
        </w:tc>
        <w:tc>
          <w:tcPr>
            <w:tcW w:w="1340" w:type="dxa"/>
            <w:tcBorders>
              <w:top w:val="nil"/>
              <w:left w:val="nil"/>
              <w:bottom w:val="nil"/>
              <w:right w:val="nil"/>
            </w:tcBorders>
            <w:shd w:val="clear" w:color="auto" w:fill="auto"/>
            <w:noWrap/>
            <w:vAlign w:val="bottom"/>
            <w:hideMark/>
          </w:tcPr>
          <w:p w14:paraId="6D24B9B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1682</w:t>
            </w:r>
          </w:p>
        </w:tc>
      </w:tr>
      <w:tr w:rsidR="00044023" w:rsidRPr="00044023" w14:paraId="405044D5" w14:textId="77777777" w:rsidTr="00044023">
        <w:trPr>
          <w:trHeight w:val="68"/>
        </w:trPr>
        <w:tc>
          <w:tcPr>
            <w:tcW w:w="960" w:type="dxa"/>
            <w:tcBorders>
              <w:top w:val="nil"/>
              <w:left w:val="nil"/>
              <w:bottom w:val="nil"/>
              <w:right w:val="nil"/>
            </w:tcBorders>
            <w:shd w:val="clear" w:color="auto" w:fill="auto"/>
            <w:noWrap/>
            <w:vAlign w:val="bottom"/>
            <w:hideMark/>
          </w:tcPr>
          <w:p w14:paraId="3F67D3C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1980</w:t>
            </w:r>
          </w:p>
        </w:tc>
        <w:tc>
          <w:tcPr>
            <w:tcW w:w="724" w:type="dxa"/>
            <w:tcBorders>
              <w:top w:val="nil"/>
              <w:left w:val="single" w:sz="4" w:space="0" w:color="auto"/>
              <w:bottom w:val="nil"/>
              <w:right w:val="nil"/>
            </w:tcBorders>
            <w:shd w:val="clear" w:color="auto" w:fill="auto"/>
            <w:noWrap/>
            <w:vAlign w:val="bottom"/>
            <w:hideMark/>
          </w:tcPr>
          <w:p w14:paraId="0D3360E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35</w:t>
            </w:r>
          </w:p>
        </w:tc>
        <w:tc>
          <w:tcPr>
            <w:tcW w:w="724" w:type="dxa"/>
            <w:tcBorders>
              <w:top w:val="nil"/>
              <w:left w:val="nil"/>
              <w:bottom w:val="nil"/>
              <w:right w:val="nil"/>
            </w:tcBorders>
            <w:shd w:val="clear" w:color="auto" w:fill="auto"/>
            <w:noWrap/>
            <w:vAlign w:val="bottom"/>
            <w:hideMark/>
          </w:tcPr>
          <w:p w14:paraId="0718D32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w:t>
            </w:r>
          </w:p>
        </w:tc>
        <w:tc>
          <w:tcPr>
            <w:tcW w:w="723" w:type="dxa"/>
            <w:tcBorders>
              <w:top w:val="nil"/>
              <w:left w:val="nil"/>
              <w:bottom w:val="nil"/>
              <w:right w:val="nil"/>
            </w:tcBorders>
            <w:shd w:val="clear" w:color="auto" w:fill="auto"/>
            <w:noWrap/>
            <w:vAlign w:val="bottom"/>
            <w:hideMark/>
          </w:tcPr>
          <w:p w14:paraId="5E68A40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w:t>
            </w:r>
          </w:p>
        </w:tc>
        <w:tc>
          <w:tcPr>
            <w:tcW w:w="723" w:type="dxa"/>
            <w:tcBorders>
              <w:top w:val="nil"/>
              <w:left w:val="nil"/>
              <w:bottom w:val="nil"/>
              <w:right w:val="nil"/>
            </w:tcBorders>
            <w:shd w:val="clear" w:color="auto" w:fill="auto"/>
            <w:noWrap/>
            <w:vAlign w:val="bottom"/>
            <w:hideMark/>
          </w:tcPr>
          <w:p w14:paraId="6F6A8BB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723" w:type="dxa"/>
            <w:tcBorders>
              <w:top w:val="nil"/>
              <w:left w:val="nil"/>
              <w:bottom w:val="nil"/>
              <w:right w:val="nil"/>
            </w:tcBorders>
            <w:shd w:val="clear" w:color="auto" w:fill="auto"/>
            <w:noWrap/>
            <w:vAlign w:val="bottom"/>
            <w:hideMark/>
          </w:tcPr>
          <w:p w14:paraId="657EFB7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723" w:type="dxa"/>
            <w:tcBorders>
              <w:top w:val="nil"/>
              <w:left w:val="nil"/>
              <w:bottom w:val="nil"/>
              <w:right w:val="single" w:sz="4" w:space="0" w:color="auto"/>
            </w:tcBorders>
            <w:shd w:val="clear" w:color="auto" w:fill="auto"/>
            <w:noWrap/>
            <w:vAlign w:val="bottom"/>
            <w:hideMark/>
          </w:tcPr>
          <w:p w14:paraId="5382EF1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w:t>
            </w:r>
          </w:p>
        </w:tc>
        <w:tc>
          <w:tcPr>
            <w:tcW w:w="680" w:type="dxa"/>
            <w:tcBorders>
              <w:top w:val="nil"/>
              <w:left w:val="nil"/>
              <w:bottom w:val="nil"/>
              <w:right w:val="nil"/>
            </w:tcBorders>
            <w:shd w:val="clear" w:color="auto" w:fill="auto"/>
            <w:noWrap/>
            <w:vAlign w:val="bottom"/>
            <w:hideMark/>
          </w:tcPr>
          <w:p w14:paraId="611BD2F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116</w:t>
            </w:r>
          </w:p>
        </w:tc>
        <w:tc>
          <w:tcPr>
            <w:tcW w:w="1340" w:type="dxa"/>
            <w:tcBorders>
              <w:top w:val="nil"/>
              <w:left w:val="nil"/>
              <w:bottom w:val="nil"/>
              <w:right w:val="nil"/>
            </w:tcBorders>
            <w:shd w:val="clear" w:color="auto" w:fill="auto"/>
            <w:noWrap/>
            <w:vAlign w:val="bottom"/>
            <w:hideMark/>
          </w:tcPr>
          <w:p w14:paraId="03787C9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1798</w:t>
            </w:r>
          </w:p>
        </w:tc>
      </w:tr>
      <w:tr w:rsidR="00044023" w:rsidRPr="00044023" w14:paraId="4BE6E372" w14:textId="77777777" w:rsidTr="00044023">
        <w:trPr>
          <w:trHeight w:val="68"/>
        </w:trPr>
        <w:tc>
          <w:tcPr>
            <w:tcW w:w="960" w:type="dxa"/>
            <w:tcBorders>
              <w:top w:val="nil"/>
              <w:left w:val="nil"/>
              <w:bottom w:val="nil"/>
              <w:right w:val="nil"/>
            </w:tcBorders>
            <w:shd w:val="clear" w:color="auto" w:fill="auto"/>
            <w:noWrap/>
            <w:vAlign w:val="bottom"/>
            <w:hideMark/>
          </w:tcPr>
          <w:p w14:paraId="626D7E0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1981</w:t>
            </w:r>
          </w:p>
        </w:tc>
        <w:tc>
          <w:tcPr>
            <w:tcW w:w="724" w:type="dxa"/>
            <w:tcBorders>
              <w:top w:val="nil"/>
              <w:left w:val="single" w:sz="4" w:space="0" w:color="auto"/>
              <w:bottom w:val="nil"/>
              <w:right w:val="nil"/>
            </w:tcBorders>
            <w:shd w:val="clear" w:color="auto" w:fill="auto"/>
            <w:noWrap/>
            <w:vAlign w:val="bottom"/>
            <w:hideMark/>
          </w:tcPr>
          <w:p w14:paraId="1D8822B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32</w:t>
            </w:r>
          </w:p>
        </w:tc>
        <w:tc>
          <w:tcPr>
            <w:tcW w:w="724" w:type="dxa"/>
            <w:tcBorders>
              <w:top w:val="nil"/>
              <w:left w:val="nil"/>
              <w:bottom w:val="nil"/>
              <w:right w:val="nil"/>
            </w:tcBorders>
            <w:shd w:val="clear" w:color="auto" w:fill="auto"/>
            <w:noWrap/>
            <w:vAlign w:val="bottom"/>
            <w:hideMark/>
          </w:tcPr>
          <w:p w14:paraId="0AA98AD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24</w:t>
            </w:r>
          </w:p>
        </w:tc>
        <w:tc>
          <w:tcPr>
            <w:tcW w:w="723" w:type="dxa"/>
            <w:tcBorders>
              <w:top w:val="nil"/>
              <w:left w:val="nil"/>
              <w:bottom w:val="nil"/>
              <w:right w:val="nil"/>
            </w:tcBorders>
            <w:shd w:val="clear" w:color="auto" w:fill="auto"/>
            <w:noWrap/>
            <w:vAlign w:val="bottom"/>
            <w:hideMark/>
          </w:tcPr>
          <w:p w14:paraId="254066A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14</w:t>
            </w:r>
          </w:p>
        </w:tc>
        <w:tc>
          <w:tcPr>
            <w:tcW w:w="723" w:type="dxa"/>
            <w:tcBorders>
              <w:top w:val="nil"/>
              <w:left w:val="nil"/>
              <w:bottom w:val="nil"/>
              <w:right w:val="nil"/>
            </w:tcBorders>
            <w:shd w:val="clear" w:color="auto" w:fill="auto"/>
            <w:noWrap/>
            <w:vAlign w:val="bottom"/>
            <w:hideMark/>
          </w:tcPr>
          <w:p w14:paraId="32AFA50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12</w:t>
            </w:r>
          </w:p>
        </w:tc>
        <w:tc>
          <w:tcPr>
            <w:tcW w:w="723" w:type="dxa"/>
            <w:tcBorders>
              <w:top w:val="nil"/>
              <w:left w:val="nil"/>
              <w:bottom w:val="nil"/>
              <w:right w:val="nil"/>
            </w:tcBorders>
            <w:shd w:val="clear" w:color="auto" w:fill="auto"/>
            <w:noWrap/>
            <w:vAlign w:val="bottom"/>
            <w:hideMark/>
          </w:tcPr>
          <w:p w14:paraId="175B07D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3" w:type="dxa"/>
            <w:tcBorders>
              <w:top w:val="nil"/>
              <w:left w:val="nil"/>
              <w:bottom w:val="nil"/>
              <w:right w:val="single" w:sz="4" w:space="0" w:color="auto"/>
            </w:tcBorders>
            <w:shd w:val="clear" w:color="auto" w:fill="auto"/>
            <w:noWrap/>
            <w:vAlign w:val="bottom"/>
            <w:hideMark/>
          </w:tcPr>
          <w:p w14:paraId="1A49689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14</w:t>
            </w:r>
          </w:p>
        </w:tc>
        <w:tc>
          <w:tcPr>
            <w:tcW w:w="680" w:type="dxa"/>
            <w:tcBorders>
              <w:top w:val="nil"/>
              <w:left w:val="nil"/>
              <w:bottom w:val="nil"/>
              <w:right w:val="nil"/>
            </w:tcBorders>
            <w:shd w:val="clear" w:color="auto" w:fill="auto"/>
            <w:noWrap/>
            <w:vAlign w:val="bottom"/>
            <w:hideMark/>
          </w:tcPr>
          <w:p w14:paraId="0D3EA21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104</w:t>
            </w:r>
          </w:p>
        </w:tc>
        <w:tc>
          <w:tcPr>
            <w:tcW w:w="1340" w:type="dxa"/>
            <w:tcBorders>
              <w:top w:val="nil"/>
              <w:left w:val="nil"/>
              <w:bottom w:val="nil"/>
              <w:right w:val="nil"/>
            </w:tcBorders>
            <w:shd w:val="clear" w:color="auto" w:fill="auto"/>
            <w:noWrap/>
            <w:vAlign w:val="bottom"/>
            <w:hideMark/>
          </w:tcPr>
          <w:p w14:paraId="36DCB3B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1902</w:t>
            </w:r>
          </w:p>
        </w:tc>
      </w:tr>
      <w:tr w:rsidR="00044023" w:rsidRPr="00044023" w14:paraId="35325189" w14:textId="77777777" w:rsidTr="00044023">
        <w:trPr>
          <w:trHeight w:val="68"/>
        </w:trPr>
        <w:tc>
          <w:tcPr>
            <w:tcW w:w="960" w:type="dxa"/>
            <w:tcBorders>
              <w:top w:val="nil"/>
              <w:left w:val="nil"/>
              <w:bottom w:val="nil"/>
              <w:right w:val="nil"/>
            </w:tcBorders>
            <w:shd w:val="clear" w:color="auto" w:fill="auto"/>
            <w:noWrap/>
            <w:vAlign w:val="bottom"/>
            <w:hideMark/>
          </w:tcPr>
          <w:p w14:paraId="73B06B3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1982</w:t>
            </w:r>
          </w:p>
        </w:tc>
        <w:tc>
          <w:tcPr>
            <w:tcW w:w="724" w:type="dxa"/>
            <w:tcBorders>
              <w:top w:val="nil"/>
              <w:left w:val="single" w:sz="4" w:space="0" w:color="auto"/>
              <w:bottom w:val="nil"/>
              <w:right w:val="nil"/>
            </w:tcBorders>
            <w:shd w:val="clear" w:color="auto" w:fill="auto"/>
            <w:noWrap/>
            <w:vAlign w:val="bottom"/>
            <w:hideMark/>
          </w:tcPr>
          <w:p w14:paraId="520D54C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28</w:t>
            </w:r>
          </w:p>
        </w:tc>
        <w:tc>
          <w:tcPr>
            <w:tcW w:w="724" w:type="dxa"/>
            <w:tcBorders>
              <w:top w:val="nil"/>
              <w:left w:val="nil"/>
              <w:bottom w:val="nil"/>
              <w:right w:val="nil"/>
            </w:tcBorders>
            <w:shd w:val="clear" w:color="auto" w:fill="auto"/>
            <w:noWrap/>
            <w:vAlign w:val="bottom"/>
            <w:hideMark/>
          </w:tcPr>
          <w:p w14:paraId="64791FB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w:t>
            </w:r>
          </w:p>
        </w:tc>
        <w:tc>
          <w:tcPr>
            <w:tcW w:w="723" w:type="dxa"/>
            <w:tcBorders>
              <w:top w:val="nil"/>
              <w:left w:val="nil"/>
              <w:bottom w:val="nil"/>
              <w:right w:val="nil"/>
            </w:tcBorders>
            <w:shd w:val="clear" w:color="auto" w:fill="auto"/>
            <w:noWrap/>
            <w:vAlign w:val="bottom"/>
            <w:hideMark/>
          </w:tcPr>
          <w:p w14:paraId="15C1B04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12</w:t>
            </w:r>
          </w:p>
        </w:tc>
        <w:tc>
          <w:tcPr>
            <w:tcW w:w="723" w:type="dxa"/>
            <w:tcBorders>
              <w:top w:val="nil"/>
              <w:left w:val="nil"/>
              <w:bottom w:val="nil"/>
              <w:right w:val="nil"/>
            </w:tcBorders>
            <w:shd w:val="clear" w:color="auto" w:fill="auto"/>
            <w:noWrap/>
            <w:vAlign w:val="bottom"/>
            <w:hideMark/>
          </w:tcPr>
          <w:p w14:paraId="4293771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723" w:type="dxa"/>
            <w:tcBorders>
              <w:top w:val="nil"/>
              <w:left w:val="nil"/>
              <w:bottom w:val="nil"/>
              <w:right w:val="nil"/>
            </w:tcBorders>
            <w:shd w:val="clear" w:color="auto" w:fill="auto"/>
            <w:noWrap/>
            <w:vAlign w:val="bottom"/>
            <w:hideMark/>
          </w:tcPr>
          <w:p w14:paraId="2E4D9B0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single" w:sz="4" w:space="0" w:color="auto"/>
            </w:tcBorders>
            <w:shd w:val="clear" w:color="auto" w:fill="auto"/>
            <w:noWrap/>
            <w:vAlign w:val="bottom"/>
            <w:hideMark/>
          </w:tcPr>
          <w:p w14:paraId="72405EC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680" w:type="dxa"/>
            <w:tcBorders>
              <w:top w:val="nil"/>
              <w:left w:val="nil"/>
              <w:bottom w:val="nil"/>
              <w:right w:val="nil"/>
            </w:tcBorders>
            <w:shd w:val="clear" w:color="auto" w:fill="auto"/>
            <w:noWrap/>
            <w:vAlign w:val="bottom"/>
            <w:hideMark/>
          </w:tcPr>
          <w:p w14:paraId="2A8134A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93</w:t>
            </w:r>
          </w:p>
        </w:tc>
        <w:tc>
          <w:tcPr>
            <w:tcW w:w="1340" w:type="dxa"/>
            <w:tcBorders>
              <w:top w:val="nil"/>
              <w:left w:val="nil"/>
              <w:bottom w:val="nil"/>
              <w:right w:val="nil"/>
            </w:tcBorders>
            <w:shd w:val="clear" w:color="auto" w:fill="auto"/>
            <w:noWrap/>
            <w:vAlign w:val="bottom"/>
            <w:hideMark/>
          </w:tcPr>
          <w:p w14:paraId="39CE2A1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1995</w:t>
            </w:r>
          </w:p>
        </w:tc>
      </w:tr>
      <w:tr w:rsidR="00044023" w:rsidRPr="00044023" w14:paraId="178785D3" w14:textId="77777777" w:rsidTr="00044023">
        <w:trPr>
          <w:trHeight w:val="68"/>
        </w:trPr>
        <w:tc>
          <w:tcPr>
            <w:tcW w:w="960" w:type="dxa"/>
            <w:tcBorders>
              <w:top w:val="nil"/>
              <w:left w:val="nil"/>
              <w:bottom w:val="nil"/>
              <w:right w:val="nil"/>
            </w:tcBorders>
            <w:shd w:val="clear" w:color="auto" w:fill="auto"/>
            <w:noWrap/>
            <w:vAlign w:val="bottom"/>
            <w:hideMark/>
          </w:tcPr>
          <w:p w14:paraId="666EB4A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1983</w:t>
            </w:r>
          </w:p>
        </w:tc>
        <w:tc>
          <w:tcPr>
            <w:tcW w:w="724" w:type="dxa"/>
            <w:tcBorders>
              <w:top w:val="nil"/>
              <w:left w:val="single" w:sz="4" w:space="0" w:color="auto"/>
              <w:bottom w:val="nil"/>
              <w:right w:val="nil"/>
            </w:tcBorders>
            <w:shd w:val="clear" w:color="auto" w:fill="auto"/>
            <w:noWrap/>
            <w:vAlign w:val="bottom"/>
            <w:hideMark/>
          </w:tcPr>
          <w:p w14:paraId="4016751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w:t>
            </w:r>
          </w:p>
        </w:tc>
        <w:tc>
          <w:tcPr>
            <w:tcW w:w="724" w:type="dxa"/>
            <w:tcBorders>
              <w:top w:val="nil"/>
              <w:left w:val="nil"/>
              <w:bottom w:val="nil"/>
              <w:right w:val="nil"/>
            </w:tcBorders>
            <w:shd w:val="clear" w:color="auto" w:fill="auto"/>
            <w:noWrap/>
            <w:vAlign w:val="bottom"/>
            <w:hideMark/>
          </w:tcPr>
          <w:p w14:paraId="3896D33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w:t>
            </w:r>
          </w:p>
        </w:tc>
        <w:tc>
          <w:tcPr>
            <w:tcW w:w="723" w:type="dxa"/>
            <w:tcBorders>
              <w:top w:val="nil"/>
              <w:left w:val="nil"/>
              <w:bottom w:val="nil"/>
              <w:right w:val="nil"/>
            </w:tcBorders>
            <w:shd w:val="clear" w:color="auto" w:fill="auto"/>
            <w:noWrap/>
            <w:vAlign w:val="bottom"/>
            <w:hideMark/>
          </w:tcPr>
          <w:p w14:paraId="0D30BE7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723" w:type="dxa"/>
            <w:tcBorders>
              <w:top w:val="nil"/>
              <w:left w:val="nil"/>
              <w:bottom w:val="nil"/>
              <w:right w:val="nil"/>
            </w:tcBorders>
            <w:shd w:val="clear" w:color="auto" w:fill="auto"/>
            <w:noWrap/>
            <w:vAlign w:val="bottom"/>
            <w:hideMark/>
          </w:tcPr>
          <w:p w14:paraId="2208AA6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723" w:type="dxa"/>
            <w:tcBorders>
              <w:top w:val="nil"/>
              <w:left w:val="nil"/>
              <w:bottom w:val="nil"/>
              <w:right w:val="nil"/>
            </w:tcBorders>
            <w:shd w:val="clear" w:color="auto" w:fill="auto"/>
            <w:noWrap/>
            <w:vAlign w:val="bottom"/>
            <w:hideMark/>
          </w:tcPr>
          <w:p w14:paraId="417D5DC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single" w:sz="4" w:space="0" w:color="auto"/>
            </w:tcBorders>
            <w:shd w:val="clear" w:color="auto" w:fill="auto"/>
            <w:noWrap/>
            <w:vAlign w:val="bottom"/>
            <w:hideMark/>
          </w:tcPr>
          <w:p w14:paraId="0184400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680" w:type="dxa"/>
            <w:tcBorders>
              <w:top w:val="nil"/>
              <w:left w:val="nil"/>
              <w:bottom w:val="nil"/>
              <w:right w:val="nil"/>
            </w:tcBorders>
            <w:shd w:val="clear" w:color="auto" w:fill="auto"/>
            <w:noWrap/>
            <w:vAlign w:val="bottom"/>
            <w:hideMark/>
          </w:tcPr>
          <w:p w14:paraId="49998CC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84</w:t>
            </w:r>
          </w:p>
        </w:tc>
        <w:tc>
          <w:tcPr>
            <w:tcW w:w="1340" w:type="dxa"/>
            <w:tcBorders>
              <w:top w:val="nil"/>
              <w:left w:val="nil"/>
              <w:bottom w:val="nil"/>
              <w:right w:val="nil"/>
            </w:tcBorders>
            <w:shd w:val="clear" w:color="auto" w:fill="auto"/>
            <w:noWrap/>
            <w:vAlign w:val="bottom"/>
            <w:hideMark/>
          </w:tcPr>
          <w:p w14:paraId="22BBBE7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2079</w:t>
            </w:r>
          </w:p>
        </w:tc>
      </w:tr>
      <w:tr w:rsidR="00044023" w:rsidRPr="00044023" w14:paraId="5E424854" w14:textId="77777777" w:rsidTr="00044023">
        <w:trPr>
          <w:trHeight w:val="68"/>
        </w:trPr>
        <w:tc>
          <w:tcPr>
            <w:tcW w:w="960" w:type="dxa"/>
            <w:tcBorders>
              <w:top w:val="nil"/>
              <w:left w:val="nil"/>
              <w:bottom w:val="nil"/>
              <w:right w:val="nil"/>
            </w:tcBorders>
            <w:shd w:val="clear" w:color="auto" w:fill="auto"/>
            <w:noWrap/>
            <w:vAlign w:val="bottom"/>
            <w:hideMark/>
          </w:tcPr>
          <w:p w14:paraId="45259CE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1984</w:t>
            </w:r>
          </w:p>
        </w:tc>
        <w:tc>
          <w:tcPr>
            <w:tcW w:w="724" w:type="dxa"/>
            <w:tcBorders>
              <w:top w:val="nil"/>
              <w:left w:val="single" w:sz="4" w:space="0" w:color="auto"/>
              <w:bottom w:val="nil"/>
              <w:right w:val="nil"/>
            </w:tcBorders>
            <w:shd w:val="clear" w:color="auto" w:fill="auto"/>
            <w:noWrap/>
            <w:vAlign w:val="bottom"/>
            <w:hideMark/>
          </w:tcPr>
          <w:p w14:paraId="4F01656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w:t>
            </w:r>
          </w:p>
        </w:tc>
        <w:tc>
          <w:tcPr>
            <w:tcW w:w="724" w:type="dxa"/>
            <w:tcBorders>
              <w:top w:val="nil"/>
              <w:left w:val="nil"/>
              <w:bottom w:val="nil"/>
              <w:right w:val="nil"/>
            </w:tcBorders>
            <w:shd w:val="clear" w:color="auto" w:fill="auto"/>
            <w:noWrap/>
            <w:vAlign w:val="bottom"/>
            <w:hideMark/>
          </w:tcPr>
          <w:p w14:paraId="039BA9D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18</w:t>
            </w:r>
          </w:p>
        </w:tc>
        <w:tc>
          <w:tcPr>
            <w:tcW w:w="723" w:type="dxa"/>
            <w:tcBorders>
              <w:top w:val="nil"/>
              <w:left w:val="nil"/>
              <w:bottom w:val="nil"/>
              <w:right w:val="nil"/>
            </w:tcBorders>
            <w:shd w:val="clear" w:color="auto" w:fill="auto"/>
            <w:noWrap/>
            <w:vAlign w:val="bottom"/>
            <w:hideMark/>
          </w:tcPr>
          <w:p w14:paraId="05D0326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723" w:type="dxa"/>
            <w:tcBorders>
              <w:top w:val="nil"/>
              <w:left w:val="nil"/>
              <w:bottom w:val="nil"/>
              <w:right w:val="nil"/>
            </w:tcBorders>
            <w:shd w:val="clear" w:color="auto" w:fill="auto"/>
            <w:noWrap/>
            <w:vAlign w:val="bottom"/>
            <w:hideMark/>
          </w:tcPr>
          <w:p w14:paraId="1F2AF00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3" w:type="dxa"/>
            <w:tcBorders>
              <w:top w:val="nil"/>
              <w:left w:val="nil"/>
              <w:bottom w:val="nil"/>
              <w:right w:val="nil"/>
            </w:tcBorders>
            <w:shd w:val="clear" w:color="auto" w:fill="auto"/>
            <w:noWrap/>
            <w:vAlign w:val="bottom"/>
            <w:hideMark/>
          </w:tcPr>
          <w:p w14:paraId="4D46855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single" w:sz="4" w:space="0" w:color="auto"/>
            </w:tcBorders>
            <w:shd w:val="clear" w:color="auto" w:fill="auto"/>
            <w:noWrap/>
            <w:vAlign w:val="bottom"/>
            <w:hideMark/>
          </w:tcPr>
          <w:p w14:paraId="257579A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680" w:type="dxa"/>
            <w:tcBorders>
              <w:top w:val="nil"/>
              <w:left w:val="nil"/>
              <w:bottom w:val="nil"/>
              <w:right w:val="nil"/>
            </w:tcBorders>
            <w:shd w:val="clear" w:color="auto" w:fill="auto"/>
            <w:noWrap/>
            <w:vAlign w:val="bottom"/>
            <w:hideMark/>
          </w:tcPr>
          <w:p w14:paraId="26C8AD7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75</w:t>
            </w:r>
          </w:p>
        </w:tc>
        <w:tc>
          <w:tcPr>
            <w:tcW w:w="1340" w:type="dxa"/>
            <w:tcBorders>
              <w:top w:val="nil"/>
              <w:left w:val="nil"/>
              <w:bottom w:val="nil"/>
              <w:right w:val="nil"/>
            </w:tcBorders>
            <w:shd w:val="clear" w:color="auto" w:fill="auto"/>
            <w:noWrap/>
            <w:vAlign w:val="bottom"/>
            <w:hideMark/>
          </w:tcPr>
          <w:p w14:paraId="7BB4B2F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2154</w:t>
            </w:r>
          </w:p>
        </w:tc>
      </w:tr>
      <w:tr w:rsidR="00044023" w:rsidRPr="00044023" w14:paraId="767FAE61" w14:textId="77777777" w:rsidTr="00044023">
        <w:trPr>
          <w:trHeight w:val="68"/>
        </w:trPr>
        <w:tc>
          <w:tcPr>
            <w:tcW w:w="960" w:type="dxa"/>
            <w:tcBorders>
              <w:top w:val="nil"/>
              <w:left w:val="nil"/>
              <w:bottom w:val="nil"/>
              <w:right w:val="nil"/>
            </w:tcBorders>
            <w:shd w:val="clear" w:color="auto" w:fill="auto"/>
            <w:noWrap/>
            <w:vAlign w:val="bottom"/>
            <w:hideMark/>
          </w:tcPr>
          <w:p w14:paraId="2FDDAAF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1985</w:t>
            </w:r>
          </w:p>
        </w:tc>
        <w:tc>
          <w:tcPr>
            <w:tcW w:w="724" w:type="dxa"/>
            <w:tcBorders>
              <w:top w:val="nil"/>
              <w:left w:val="single" w:sz="4" w:space="0" w:color="auto"/>
              <w:bottom w:val="nil"/>
              <w:right w:val="nil"/>
            </w:tcBorders>
            <w:shd w:val="clear" w:color="auto" w:fill="auto"/>
            <w:noWrap/>
            <w:vAlign w:val="bottom"/>
            <w:hideMark/>
          </w:tcPr>
          <w:p w14:paraId="65F38CA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w:t>
            </w:r>
          </w:p>
        </w:tc>
        <w:tc>
          <w:tcPr>
            <w:tcW w:w="724" w:type="dxa"/>
            <w:tcBorders>
              <w:top w:val="nil"/>
              <w:left w:val="nil"/>
              <w:bottom w:val="nil"/>
              <w:right w:val="nil"/>
            </w:tcBorders>
            <w:shd w:val="clear" w:color="auto" w:fill="auto"/>
            <w:noWrap/>
            <w:vAlign w:val="bottom"/>
            <w:hideMark/>
          </w:tcPr>
          <w:p w14:paraId="4B67F03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w:t>
            </w:r>
          </w:p>
        </w:tc>
        <w:tc>
          <w:tcPr>
            <w:tcW w:w="723" w:type="dxa"/>
            <w:tcBorders>
              <w:top w:val="nil"/>
              <w:left w:val="nil"/>
              <w:bottom w:val="nil"/>
              <w:right w:val="nil"/>
            </w:tcBorders>
            <w:shd w:val="clear" w:color="auto" w:fill="auto"/>
            <w:noWrap/>
            <w:vAlign w:val="bottom"/>
            <w:hideMark/>
          </w:tcPr>
          <w:p w14:paraId="6D76FFA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723" w:type="dxa"/>
            <w:tcBorders>
              <w:top w:val="nil"/>
              <w:left w:val="nil"/>
              <w:bottom w:val="nil"/>
              <w:right w:val="nil"/>
            </w:tcBorders>
            <w:shd w:val="clear" w:color="auto" w:fill="auto"/>
            <w:noWrap/>
            <w:vAlign w:val="bottom"/>
            <w:hideMark/>
          </w:tcPr>
          <w:p w14:paraId="093AF1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nil"/>
            </w:tcBorders>
            <w:shd w:val="clear" w:color="auto" w:fill="auto"/>
            <w:noWrap/>
            <w:vAlign w:val="bottom"/>
            <w:hideMark/>
          </w:tcPr>
          <w:p w14:paraId="354FA62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single" w:sz="4" w:space="0" w:color="auto"/>
            </w:tcBorders>
            <w:shd w:val="clear" w:color="auto" w:fill="auto"/>
            <w:noWrap/>
            <w:vAlign w:val="bottom"/>
            <w:hideMark/>
          </w:tcPr>
          <w:p w14:paraId="4BA4DF4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680" w:type="dxa"/>
            <w:tcBorders>
              <w:top w:val="nil"/>
              <w:left w:val="nil"/>
              <w:bottom w:val="nil"/>
              <w:right w:val="nil"/>
            </w:tcBorders>
            <w:shd w:val="clear" w:color="auto" w:fill="auto"/>
            <w:noWrap/>
            <w:vAlign w:val="bottom"/>
            <w:hideMark/>
          </w:tcPr>
          <w:p w14:paraId="0F17B0B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67</w:t>
            </w:r>
          </w:p>
        </w:tc>
        <w:tc>
          <w:tcPr>
            <w:tcW w:w="1340" w:type="dxa"/>
            <w:tcBorders>
              <w:top w:val="nil"/>
              <w:left w:val="nil"/>
              <w:bottom w:val="nil"/>
              <w:right w:val="nil"/>
            </w:tcBorders>
            <w:shd w:val="clear" w:color="auto" w:fill="auto"/>
            <w:noWrap/>
            <w:vAlign w:val="bottom"/>
            <w:hideMark/>
          </w:tcPr>
          <w:p w14:paraId="1AE24BB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2221</w:t>
            </w:r>
          </w:p>
        </w:tc>
      </w:tr>
      <w:tr w:rsidR="00044023" w:rsidRPr="00044023" w14:paraId="4061D628" w14:textId="77777777" w:rsidTr="00044023">
        <w:trPr>
          <w:trHeight w:val="68"/>
        </w:trPr>
        <w:tc>
          <w:tcPr>
            <w:tcW w:w="960" w:type="dxa"/>
            <w:tcBorders>
              <w:top w:val="nil"/>
              <w:left w:val="nil"/>
              <w:bottom w:val="nil"/>
              <w:right w:val="nil"/>
            </w:tcBorders>
            <w:shd w:val="clear" w:color="auto" w:fill="auto"/>
            <w:noWrap/>
            <w:vAlign w:val="bottom"/>
            <w:hideMark/>
          </w:tcPr>
          <w:p w14:paraId="1B51A59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1986</w:t>
            </w:r>
          </w:p>
        </w:tc>
        <w:tc>
          <w:tcPr>
            <w:tcW w:w="724" w:type="dxa"/>
            <w:tcBorders>
              <w:top w:val="nil"/>
              <w:left w:val="single" w:sz="4" w:space="0" w:color="auto"/>
              <w:bottom w:val="nil"/>
              <w:right w:val="nil"/>
            </w:tcBorders>
            <w:shd w:val="clear" w:color="auto" w:fill="auto"/>
            <w:noWrap/>
            <w:vAlign w:val="bottom"/>
            <w:hideMark/>
          </w:tcPr>
          <w:p w14:paraId="264A707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17</w:t>
            </w:r>
          </w:p>
        </w:tc>
        <w:tc>
          <w:tcPr>
            <w:tcW w:w="724" w:type="dxa"/>
            <w:tcBorders>
              <w:top w:val="nil"/>
              <w:left w:val="nil"/>
              <w:bottom w:val="nil"/>
              <w:right w:val="nil"/>
            </w:tcBorders>
            <w:shd w:val="clear" w:color="auto" w:fill="auto"/>
            <w:noWrap/>
            <w:vAlign w:val="bottom"/>
            <w:hideMark/>
          </w:tcPr>
          <w:p w14:paraId="10CA551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w:t>
            </w:r>
          </w:p>
        </w:tc>
        <w:tc>
          <w:tcPr>
            <w:tcW w:w="723" w:type="dxa"/>
            <w:tcBorders>
              <w:top w:val="nil"/>
              <w:left w:val="nil"/>
              <w:bottom w:val="nil"/>
              <w:right w:val="nil"/>
            </w:tcBorders>
            <w:shd w:val="clear" w:color="auto" w:fill="auto"/>
            <w:noWrap/>
            <w:vAlign w:val="bottom"/>
            <w:hideMark/>
          </w:tcPr>
          <w:p w14:paraId="3D2DFEA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3" w:type="dxa"/>
            <w:tcBorders>
              <w:top w:val="nil"/>
              <w:left w:val="nil"/>
              <w:bottom w:val="nil"/>
              <w:right w:val="nil"/>
            </w:tcBorders>
            <w:shd w:val="clear" w:color="auto" w:fill="auto"/>
            <w:noWrap/>
            <w:vAlign w:val="bottom"/>
            <w:hideMark/>
          </w:tcPr>
          <w:p w14:paraId="288E730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nil"/>
            </w:tcBorders>
            <w:shd w:val="clear" w:color="auto" w:fill="auto"/>
            <w:noWrap/>
            <w:vAlign w:val="bottom"/>
            <w:hideMark/>
          </w:tcPr>
          <w:p w14:paraId="7BE0B0A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single" w:sz="4" w:space="0" w:color="auto"/>
            </w:tcBorders>
            <w:shd w:val="clear" w:color="auto" w:fill="auto"/>
            <w:noWrap/>
            <w:vAlign w:val="bottom"/>
            <w:hideMark/>
          </w:tcPr>
          <w:p w14:paraId="75E51AC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680" w:type="dxa"/>
            <w:tcBorders>
              <w:top w:val="nil"/>
              <w:left w:val="nil"/>
              <w:bottom w:val="nil"/>
              <w:right w:val="nil"/>
            </w:tcBorders>
            <w:shd w:val="clear" w:color="auto" w:fill="auto"/>
            <w:noWrap/>
            <w:vAlign w:val="bottom"/>
            <w:hideMark/>
          </w:tcPr>
          <w:p w14:paraId="714236A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61</w:t>
            </w:r>
          </w:p>
        </w:tc>
        <w:tc>
          <w:tcPr>
            <w:tcW w:w="1340" w:type="dxa"/>
            <w:tcBorders>
              <w:top w:val="nil"/>
              <w:left w:val="nil"/>
              <w:bottom w:val="nil"/>
              <w:right w:val="nil"/>
            </w:tcBorders>
            <w:shd w:val="clear" w:color="auto" w:fill="auto"/>
            <w:noWrap/>
            <w:vAlign w:val="bottom"/>
            <w:hideMark/>
          </w:tcPr>
          <w:p w14:paraId="1437EBE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2282</w:t>
            </w:r>
          </w:p>
        </w:tc>
      </w:tr>
      <w:tr w:rsidR="00044023" w:rsidRPr="00044023" w14:paraId="1B369E3B" w14:textId="77777777" w:rsidTr="00044023">
        <w:trPr>
          <w:trHeight w:val="68"/>
        </w:trPr>
        <w:tc>
          <w:tcPr>
            <w:tcW w:w="960" w:type="dxa"/>
            <w:tcBorders>
              <w:top w:val="nil"/>
              <w:left w:val="nil"/>
              <w:bottom w:val="nil"/>
              <w:right w:val="nil"/>
            </w:tcBorders>
            <w:shd w:val="clear" w:color="auto" w:fill="auto"/>
            <w:noWrap/>
            <w:vAlign w:val="bottom"/>
            <w:hideMark/>
          </w:tcPr>
          <w:p w14:paraId="0461A33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1987</w:t>
            </w:r>
          </w:p>
        </w:tc>
        <w:tc>
          <w:tcPr>
            <w:tcW w:w="724" w:type="dxa"/>
            <w:tcBorders>
              <w:top w:val="nil"/>
              <w:left w:val="single" w:sz="4" w:space="0" w:color="auto"/>
              <w:bottom w:val="nil"/>
              <w:right w:val="nil"/>
            </w:tcBorders>
            <w:shd w:val="clear" w:color="auto" w:fill="auto"/>
            <w:noWrap/>
            <w:vAlign w:val="bottom"/>
            <w:hideMark/>
          </w:tcPr>
          <w:p w14:paraId="30BE161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w:t>
            </w:r>
          </w:p>
        </w:tc>
        <w:tc>
          <w:tcPr>
            <w:tcW w:w="724" w:type="dxa"/>
            <w:tcBorders>
              <w:top w:val="nil"/>
              <w:left w:val="nil"/>
              <w:bottom w:val="nil"/>
              <w:right w:val="nil"/>
            </w:tcBorders>
            <w:shd w:val="clear" w:color="auto" w:fill="auto"/>
            <w:noWrap/>
            <w:vAlign w:val="bottom"/>
            <w:hideMark/>
          </w:tcPr>
          <w:p w14:paraId="07617BC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723" w:type="dxa"/>
            <w:tcBorders>
              <w:top w:val="nil"/>
              <w:left w:val="nil"/>
              <w:bottom w:val="nil"/>
              <w:right w:val="nil"/>
            </w:tcBorders>
            <w:shd w:val="clear" w:color="auto" w:fill="auto"/>
            <w:noWrap/>
            <w:vAlign w:val="bottom"/>
            <w:hideMark/>
          </w:tcPr>
          <w:p w14:paraId="41D5F62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3" w:type="dxa"/>
            <w:tcBorders>
              <w:top w:val="nil"/>
              <w:left w:val="nil"/>
              <w:bottom w:val="nil"/>
              <w:right w:val="nil"/>
            </w:tcBorders>
            <w:shd w:val="clear" w:color="auto" w:fill="auto"/>
            <w:noWrap/>
            <w:vAlign w:val="bottom"/>
            <w:hideMark/>
          </w:tcPr>
          <w:p w14:paraId="4850275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nil"/>
            </w:tcBorders>
            <w:shd w:val="clear" w:color="auto" w:fill="auto"/>
            <w:noWrap/>
            <w:vAlign w:val="bottom"/>
            <w:hideMark/>
          </w:tcPr>
          <w:p w14:paraId="46029FF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single" w:sz="4" w:space="0" w:color="auto"/>
            </w:tcBorders>
            <w:shd w:val="clear" w:color="auto" w:fill="auto"/>
            <w:noWrap/>
            <w:vAlign w:val="bottom"/>
            <w:hideMark/>
          </w:tcPr>
          <w:p w14:paraId="6DBF41E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680" w:type="dxa"/>
            <w:tcBorders>
              <w:top w:val="nil"/>
              <w:left w:val="nil"/>
              <w:bottom w:val="nil"/>
              <w:right w:val="nil"/>
            </w:tcBorders>
            <w:shd w:val="clear" w:color="auto" w:fill="auto"/>
            <w:noWrap/>
            <w:vAlign w:val="bottom"/>
            <w:hideMark/>
          </w:tcPr>
          <w:p w14:paraId="5D51560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54</w:t>
            </w:r>
          </w:p>
        </w:tc>
        <w:tc>
          <w:tcPr>
            <w:tcW w:w="1340" w:type="dxa"/>
            <w:tcBorders>
              <w:top w:val="nil"/>
              <w:left w:val="nil"/>
              <w:bottom w:val="nil"/>
              <w:right w:val="nil"/>
            </w:tcBorders>
            <w:shd w:val="clear" w:color="auto" w:fill="auto"/>
            <w:noWrap/>
            <w:vAlign w:val="bottom"/>
            <w:hideMark/>
          </w:tcPr>
          <w:p w14:paraId="145EFDA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2336</w:t>
            </w:r>
          </w:p>
        </w:tc>
      </w:tr>
      <w:tr w:rsidR="00044023" w:rsidRPr="00044023" w14:paraId="61996797" w14:textId="77777777" w:rsidTr="00044023">
        <w:trPr>
          <w:trHeight w:val="68"/>
        </w:trPr>
        <w:tc>
          <w:tcPr>
            <w:tcW w:w="960" w:type="dxa"/>
            <w:tcBorders>
              <w:top w:val="nil"/>
              <w:left w:val="nil"/>
              <w:bottom w:val="nil"/>
              <w:right w:val="nil"/>
            </w:tcBorders>
            <w:shd w:val="clear" w:color="auto" w:fill="auto"/>
            <w:noWrap/>
            <w:vAlign w:val="bottom"/>
            <w:hideMark/>
          </w:tcPr>
          <w:p w14:paraId="196102B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1988</w:t>
            </w:r>
          </w:p>
        </w:tc>
        <w:tc>
          <w:tcPr>
            <w:tcW w:w="724" w:type="dxa"/>
            <w:tcBorders>
              <w:top w:val="nil"/>
              <w:left w:val="single" w:sz="4" w:space="0" w:color="auto"/>
              <w:bottom w:val="nil"/>
              <w:right w:val="nil"/>
            </w:tcBorders>
            <w:shd w:val="clear" w:color="auto" w:fill="auto"/>
            <w:noWrap/>
            <w:vAlign w:val="bottom"/>
            <w:hideMark/>
          </w:tcPr>
          <w:p w14:paraId="39B30D8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724" w:type="dxa"/>
            <w:tcBorders>
              <w:top w:val="nil"/>
              <w:left w:val="nil"/>
              <w:bottom w:val="nil"/>
              <w:right w:val="nil"/>
            </w:tcBorders>
            <w:shd w:val="clear" w:color="auto" w:fill="auto"/>
            <w:noWrap/>
            <w:vAlign w:val="bottom"/>
            <w:hideMark/>
          </w:tcPr>
          <w:p w14:paraId="251B2AC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12</w:t>
            </w:r>
          </w:p>
        </w:tc>
        <w:tc>
          <w:tcPr>
            <w:tcW w:w="723" w:type="dxa"/>
            <w:tcBorders>
              <w:top w:val="nil"/>
              <w:left w:val="nil"/>
              <w:bottom w:val="nil"/>
              <w:right w:val="nil"/>
            </w:tcBorders>
            <w:shd w:val="clear" w:color="auto" w:fill="auto"/>
            <w:noWrap/>
            <w:vAlign w:val="bottom"/>
            <w:hideMark/>
          </w:tcPr>
          <w:p w14:paraId="1E45886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nil"/>
            </w:tcBorders>
            <w:shd w:val="clear" w:color="auto" w:fill="auto"/>
            <w:noWrap/>
            <w:vAlign w:val="bottom"/>
            <w:hideMark/>
          </w:tcPr>
          <w:p w14:paraId="6C8EF5B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nil"/>
            </w:tcBorders>
            <w:shd w:val="clear" w:color="auto" w:fill="auto"/>
            <w:noWrap/>
            <w:vAlign w:val="bottom"/>
            <w:hideMark/>
          </w:tcPr>
          <w:p w14:paraId="43764C7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single" w:sz="4" w:space="0" w:color="auto"/>
            </w:tcBorders>
            <w:shd w:val="clear" w:color="auto" w:fill="auto"/>
            <w:noWrap/>
            <w:vAlign w:val="bottom"/>
            <w:hideMark/>
          </w:tcPr>
          <w:p w14:paraId="2C5F83C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680" w:type="dxa"/>
            <w:tcBorders>
              <w:top w:val="nil"/>
              <w:left w:val="nil"/>
              <w:bottom w:val="nil"/>
              <w:right w:val="nil"/>
            </w:tcBorders>
            <w:shd w:val="clear" w:color="auto" w:fill="auto"/>
            <w:noWrap/>
            <w:vAlign w:val="bottom"/>
            <w:hideMark/>
          </w:tcPr>
          <w:p w14:paraId="674E9B3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49</w:t>
            </w:r>
          </w:p>
        </w:tc>
        <w:tc>
          <w:tcPr>
            <w:tcW w:w="1340" w:type="dxa"/>
            <w:tcBorders>
              <w:top w:val="nil"/>
              <w:left w:val="nil"/>
              <w:bottom w:val="nil"/>
              <w:right w:val="nil"/>
            </w:tcBorders>
            <w:shd w:val="clear" w:color="auto" w:fill="auto"/>
            <w:noWrap/>
            <w:vAlign w:val="bottom"/>
            <w:hideMark/>
          </w:tcPr>
          <w:p w14:paraId="4DA582D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2385</w:t>
            </w:r>
          </w:p>
        </w:tc>
      </w:tr>
      <w:tr w:rsidR="00044023" w:rsidRPr="00044023" w14:paraId="79623283" w14:textId="77777777" w:rsidTr="00044023">
        <w:trPr>
          <w:trHeight w:val="68"/>
        </w:trPr>
        <w:tc>
          <w:tcPr>
            <w:tcW w:w="960" w:type="dxa"/>
            <w:tcBorders>
              <w:top w:val="nil"/>
              <w:left w:val="nil"/>
              <w:bottom w:val="nil"/>
              <w:right w:val="nil"/>
            </w:tcBorders>
            <w:shd w:val="clear" w:color="auto" w:fill="auto"/>
            <w:noWrap/>
            <w:vAlign w:val="bottom"/>
            <w:hideMark/>
          </w:tcPr>
          <w:p w14:paraId="552804D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1989</w:t>
            </w:r>
          </w:p>
        </w:tc>
        <w:tc>
          <w:tcPr>
            <w:tcW w:w="724" w:type="dxa"/>
            <w:tcBorders>
              <w:top w:val="nil"/>
              <w:left w:val="single" w:sz="4" w:space="0" w:color="auto"/>
              <w:bottom w:val="nil"/>
              <w:right w:val="nil"/>
            </w:tcBorders>
            <w:shd w:val="clear" w:color="auto" w:fill="auto"/>
            <w:noWrap/>
            <w:vAlign w:val="bottom"/>
            <w:hideMark/>
          </w:tcPr>
          <w:p w14:paraId="7B4F798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724" w:type="dxa"/>
            <w:tcBorders>
              <w:top w:val="nil"/>
              <w:left w:val="nil"/>
              <w:bottom w:val="nil"/>
              <w:right w:val="nil"/>
            </w:tcBorders>
            <w:shd w:val="clear" w:color="auto" w:fill="auto"/>
            <w:noWrap/>
            <w:vAlign w:val="bottom"/>
            <w:hideMark/>
          </w:tcPr>
          <w:p w14:paraId="32F6622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723" w:type="dxa"/>
            <w:tcBorders>
              <w:top w:val="nil"/>
              <w:left w:val="nil"/>
              <w:bottom w:val="nil"/>
              <w:right w:val="nil"/>
            </w:tcBorders>
            <w:shd w:val="clear" w:color="auto" w:fill="auto"/>
            <w:noWrap/>
            <w:vAlign w:val="bottom"/>
            <w:hideMark/>
          </w:tcPr>
          <w:p w14:paraId="31201C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nil"/>
            </w:tcBorders>
            <w:shd w:val="clear" w:color="auto" w:fill="auto"/>
            <w:noWrap/>
            <w:vAlign w:val="bottom"/>
            <w:hideMark/>
          </w:tcPr>
          <w:p w14:paraId="37F24C6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656975C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single" w:sz="4" w:space="0" w:color="auto"/>
            </w:tcBorders>
            <w:shd w:val="clear" w:color="auto" w:fill="auto"/>
            <w:noWrap/>
            <w:vAlign w:val="bottom"/>
            <w:hideMark/>
          </w:tcPr>
          <w:p w14:paraId="19D7A71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680" w:type="dxa"/>
            <w:tcBorders>
              <w:top w:val="nil"/>
              <w:left w:val="nil"/>
              <w:bottom w:val="nil"/>
              <w:right w:val="nil"/>
            </w:tcBorders>
            <w:shd w:val="clear" w:color="auto" w:fill="auto"/>
            <w:noWrap/>
            <w:vAlign w:val="bottom"/>
            <w:hideMark/>
          </w:tcPr>
          <w:p w14:paraId="0131CA6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43</w:t>
            </w:r>
          </w:p>
        </w:tc>
        <w:tc>
          <w:tcPr>
            <w:tcW w:w="1340" w:type="dxa"/>
            <w:tcBorders>
              <w:top w:val="nil"/>
              <w:left w:val="nil"/>
              <w:bottom w:val="nil"/>
              <w:right w:val="nil"/>
            </w:tcBorders>
            <w:shd w:val="clear" w:color="auto" w:fill="auto"/>
            <w:noWrap/>
            <w:vAlign w:val="bottom"/>
            <w:hideMark/>
          </w:tcPr>
          <w:p w14:paraId="6E2E182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2428</w:t>
            </w:r>
          </w:p>
        </w:tc>
      </w:tr>
      <w:tr w:rsidR="00044023" w:rsidRPr="00044023" w14:paraId="0F97C395" w14:textId="77777777" w:rsidTr="00044023">
        <w:trPr>
          <w:trHeight w:val="68"/>
        </w:trPr>
        <w:tc>
          <w:tcPr>
            <w:tcW w:w="960" w:type="dxa"/>
            <w:tcBorders>
              <w:top w:val="nil"/>
              <w:left w:val="nil"/>
              <w:bottom w:val="nil"/>
              <w:right w:val="nil"/>
            </w:tcBorders>
            <w:shd w:val="clear" w:color="auto" w:fill="auto"/>
            <w:noWrap/>
            <w:vAlign w:val="bottom"/>
            <w:hideMark/>
          </w:tcPr>
          <w:p w14:paraId="4738D1F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1990</w:t>
            </w:r>
          </w:p>
        </w:tc>
        <w:tc>
          <w:tcPr>
            <w:tcW w:w="724" w:type="dxa"/>
            <w:tcBorders>
              <w:top w:val="nil"/>
              <w:left w:val="single" w:sz="4" w:space="0" w:color="auto"/>
              <w:bottom w:val="nil"/>
              <w:right w:val="nil"/>
            </w:tcBorders>
            <w:shd w:val="clear" w:color="auto" w:fill="auto"/>
            <w:noWrap/>
            <w:vAlign w:val="bottom"/>
            <w:hideMark/>
          </w:tcPr>
          <w:p w14:paraId="69DAB1E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724" w:type="dxa"/>
            <w:tcBorders>
              <w:top w:val="nil"/>
              <w:left w:val="nil"/>
              <w:bottom w:val="nil"/>
              <w:right w:val="nil"/>
            </w:tcBorders>
            <w:shd w:val="clear" w:color="auto" w:fill="auto"/>
            <w:noWrap/>
            <w:vAlign w:val="bottom"/>
            <w:hideMark/>
          </w:tcPr>
          <w:p w14:paraId="05E7392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723" w:type="dxa"/>
            <w:tcBorders>
              <w:top w:val="nil"/>
              <w:left w:val="nil"/>
              <w:bottom w:val="nil"/>
              <w:right w:val="nil"/>
            </w:tcBorders>
            <w:shd w:val="clear" w:color="auto" w:fill="auto"/>
            <w:noWrap/>
            <w:vAlign w:val="bottom"/>
            <w:hideMark/>
          </w:tcPr>
          <w:p w14:paraId="1288E91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nil"/>
            </w:tcBorders>
            <w:shd w:val="clear" w:color="auto" w:fill="auto"/>
            <w:noWrap/>
            <w:vAlign w:val="bottom"/>
            <w:hideMark/>
          </w:tcPr>
          <w:p w14:paraId="2962A8E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48F5F9A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single" w:sz="4" w:space="0" w:color="auto"/>
            </w:tcBorders>
            <w:shd w:val="clear" w:color="auto" w:fill="auto"/>
            <w:noWrap/>
            <w:vAlign w:val="bottom"/>
            <w:hideMark/>
          </w:tcPr>
          <w:p w14:paraId="1F76AEA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680" w:type="dxa"/>
            <w:tcBorders>
              <w:top w:val="nil"/>
              <w:left w:val="nil"/>
              <w:bottom w:val="nil"/>
              <w:right w:val="nil"/>
            </w:tcBorders>
            <w:shd w:val="clear" w:color="auto" w:fill="auto"/>
            <w:noWrap/>
            <w:vAlign w:val="bottom"/>
            <w:hideMark/>
          </w:tcPr>
          <w:p w14:paraId="2716ADE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39</w:t>
            </w:r>
          </w:p>
        </w:tc>
        <w:tc>
          <w:tcPr>
            <w:tcW w:w="1340" w:type="dxa"/>
            <w:tcBorders>
              <w:top w:val="nil"/>
              <w:left w:val="nil"/>
              <w:bottom w:val="nil"/>
              <w:right w:val="nil"/>
            </w:tcBorders>
            <w:shd w:val="clear" w:color="auto" w:fill="auto"/>
            <w:noWrap/>
            <w:vAlign w:val="bottom"/>
            <w:hideMark/>
          </w:tcPr>
          <w:p w14:paraId="2C1A7F7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2466</w:t>
            </w:r>
          </w:p>
        </w:tc>
      </w:tr>
      <w:tr w:rsidR="00044023" w:rsidRPr="00044023" w14:paraId="095F30A4" w14:textId="77777777" w:rsidTr="003400A5">
        <w:trPr>
          <w:trHeight w:val="68"/>
        </w:trPr>
        <w:tc>
          <w:tcPr>
            <w:tcW w:w="960" w:type="dxa"/>
            <w:tcBorders>
              <w:top w:val="nil"/>
              <w:left w:val="nil"/>
              <w:bottom w:val="nil"/>
              <w:right w:val="nil"/>
            </w:tcBorders>
            <w:shd w:val="clear" w:color="auto" w:fill="auto"/>
            <w:noWrap/>
            <w:vAlign w:val="bottom"/>
            <w:hideMark/>
          </w:tcPr>
          <w:p w14:paraId="4C36E11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1991</w:t>
            </w:r>
          </w:p>
        </w:tc>
        <w:tc>
          <w:tcPr>
            <w:tcW w:w="724" w:type="dxa"/>
            <w:tcBorders>
              <w:top w:val="nil"/>
              <w:left w:val="single" w:sz="4" w:space="0" w:color="auto"/>
              <w:bottom w:val="nil"/>
              <w:right w:val="nil"/>
            </w:tcBorders>
            <w:shd w:val="clear" w:color="auto" w:fill="auto"/>
            <w:noWrap/>
            <w:vAlign w:val="bottom"/>
            <w:hideMark/>
          </w:tcPr>
          <w:p w14:paraId="70658DB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724" w:type="dxa"/>
            <w:tcBorders>
              <w:top w:val="nil"/>
              <w:left w:val="nil"/>
              <w:bottom w:val="nil"/>
              <w:right w:val="nil"/>
            </w:tcBorders>
            <w:shd w:val="clear" w:color="auto" w:fill="auto"/>
            <w:noWrap/>
            <w:vAlign w:val="bottom"/>
            <w:hideMark/>
          </w:tcPr>
          <w:p w14:paraId="02FA69F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3" w:type="dxa"/>
            <w:tcBorders>
              <w:top w:val="nil"/>
              <w:left w:val="nil"/>
              <w:bottom w:val="nil"/>
              <w:right w:val="nil"/>
            </w:tcBorders>
            <w:shd w:val="clear" w:color="auto" w:fill="auto"/>
            <w:noWrap/>
            <w:vAlign w:val="bottom"/>
            <w:hideMark/>
          </w:tcPr>
          <w:p w14:paraId="5BC0037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7051EB2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11B7693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single" w:sz="4" w:space="0" w:color="auto"/>
            </w:tcBorders>
            <w:shd w:val="clear" w:color="auto" w:fill="auto"/>
            <w:noWrap/>
            <w:vAlign w:val="bottom"/>
            <w:hideMark/>
          </w:tcPr>
          <w:p w14:paraId="444B932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680" w:type="dxa"/>
            <w:tcBorders>
              <w:top w:val="nil"/>
              <w:left w:val="nil"/>
              <w:bottom w:val="nil"/>
              <w:right w:val="nil"/>
            </w:tcBorders>
            <w:shd w:val="clear" w:color="auto" w:fill="auto"/>
            <w:noWrap/>
            <w:vAlign w:val="bottom"/>
            <w:hideMark/>
          </w:tcPr>
          <w:p w14:paraId="225A3AC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35</w:t>
            </w:r>
          </w:p>
        </w:tc>
        <w:tc>
          <w:tcPr>
            <w:tcW w:w="1340" w:type="dxa"/>
            <w:tcBorders>
              <w:top w:val="nil"/>
              <w:left w:val="nil"/>
              <w:bottom w:val="nil"/>
              <w:right w:val="nil"/>
            </w:tcBorders>
            <w:shd w:val="clear" w:color="auto" w:fill="auto"/>
            <w:noWrap/>
            <w:vAlign w:val="bottom"/>
            <w:hideMark/>
          </w:tcPr>
          <w:p w14:paraId="7A8CDF4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2501</w:t>
            </w:r>
          </w:p>
        </w:tc>
      </w:tr>
      <w:tr w:rsidR="00044023" w:rsidRPr="00044023" w14:paraId="43EC46DD" w14:textId="77777777" w:rsidTr="00044023">
        <w:trPr>
          <w:trHeight w:val="68"/>
        </w:trPr>
        <w:tc>
          <w:tcPr>
            <w:tcW w:w="960" w:type="dxa"/>
            <w:tcBorders>
              <w:top w:val="nil"/>
              <w:left w:val="nil"/>
              <w:bottom w:val="nil"/>
              <w:right w:val="nil"/>
            </w:tcBorders>
            <w:shd w:val="clear" w:color="auto" w:fill="auto"/>
            <w:noWrap/>
            <w:vAlign w:val="bottom"/>
            <w:hideMark/>
          </w:tcPr>
          <w:p w14:paraId="23D9C8B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1992</w:t>
            </w:r>
          </w:p>
        </w:tc>
        <w:tc>
          <w:tcPr>
            <w:tcW w:w="724" w:type="dxa"/>
            <w:tcBorders>
              <w:top w:val="nil"/>
              <w:left w:val="single" w:sz="4" w:space="0" w:color="auto"/>
              <w:bottom w:val="nil"/>
              <w:right w:val="nil"/>
            </w:tcBorders>
            <w:shd w:val="clear" w:color="auto" w:fill="auto"/>
            <w:noWrap/>
            <w:vAlign w:val="bottom"/>
            <w:hideMark/>
          </w:tcPr>
          <w:p w14:paraId="74F6C73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4" w:type="dxa"/>
            <w:tcBorders>
              <w:top w:val="nil"/>
              <w:left w:val="nil"/>
              <w:bottom w:val="nil"/>
              <w:right w:val="nil"/>
            </w:tcBorders>
            <w:shd w:val="clear" w:color="auto" w:fill="auto"/>
            <w:noWrap/>
            <w:vAlign w:val="bottom"/>
            <w:hideMark/>
          </w:tcPr>
          <w:p w14:paraId="3A463B1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nil"/>
            </w:tcBorders>
            <w:shd w:val="clear" w:color="auto" w:fill="auto"/>
            <w:noWrap/>
            <w:vAlign w:val="bottom"/>
            <w:hideMark/>
          </w:tcPr>
          <w:p w14:paraId="3354AEC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52C2CE1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1668CCC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single" w:sz="4" w:space="0" w:color="auto"/>
            </w:tcBorders>
            <w:shd w:val="clear" w:color="auto" w:fill="auto"/>
            <w:noWrap/>
            <w:vAlign w:val="bottom"/>
            <w:hideMark/>
          </w:tcPr>
          <w:p w14:paraId="4D84BD4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680" w:type="dxa"/>
            <w:tcBorders>
              <w:top w:val="nil"/>
              <w:left w:val="nil"/>
              <w:bottom w:val="nil"/>
              <w:right w:val="nil"/>
            </w:tcBorders>
            <w:shd w:val="clear" w:color="auto" w:fill="auto"/>
            <w:noWrap/>
            <w:vAlign w:val="bottom"/>
            <w:hideMark/>
          </w:tcPr>
          <w:p w14:paraId="785DC4C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31</w:t>
            </w:r>
          </w:p>
        </w:tc>
        <w:tc>
          <w:tcPr>
            <w:tcW w:w="1340" w:type="dxa"/>
            <w:tcBorders>
              <w:top w:val="nil"/>
              <w:left w:val="nil"/>
              <w:bottom w:val="nil"/>
              <w:right w:val="nil"/>
            </w:tcBorders>
            <w:shd w:val="clear" w:color="auto" w:fill="auto"/>
            <w:noWrap/>
            <w:vAlign w:val="bottom"/>
            <w:hideMark/>
          </w:tcPr>
          <w:p w14:paraId="4052CF6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2532</w:t>
            </w:r>
          </w:p>
        </w:tc>
      </w:tr>
      <w:tr w:rsidR="00044023" w:rsidRPr="00044023" w14:paraId="0B1E4B6D" w14:textId="77777777" w:rsidTr="00044023">
        <w:trPr>
          <w:trHeight w:val="68"/>
        </w:trPr>
        <w:tc>
          <w:tcPr>
            <w:tcW w:w="960" w:type="dxa"/>
            <w:tcBorders>
              <w:top w:val="nil"/>
              <w:left w:val="nil"/>
              <w:bottom w:val="nil"/>
              <w:right w:val="nil"/>
            </w:tcBorders>
            <w:shd w:val="clear" w:color="auto" w:fill="auto"/>
            <w:noWrap/>
            <w:vAlign w:val="bottom"/>
            <w:hideMark/>
          </w:tcPr>
          <w:p w14:paraId="5A6763F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1993</w:t>
            </w:r>
          </w:p>
        </w:tc>
        <w:tc>
          <w:tcPr>
            <w:tcW w:w="724" w:type="dxa"/>
            <w:tcBorders>
              <w:top w:val="nil"/>
              <w:left w:val="single" w:sz="4" w:space="0" w:color="auto"/>
              <w:bottom w:val="nil"/>
              <w:right w:val="nil"/>
            </w:tcBorders>
            <w:shd w:val="clear" w:color="auto" w:fill="auto"/>
            <w:noWrap/>
            <w:vAlign w:val="bottom"/>
            <w:hideMark/>
          </w:tcPr>
          <w:p w14:paraId="4B724F0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4" w:type="dxa"/>
            <w:tcBorders>
              <w:top w:val="nil"/>
              <w:left w:val="nil"/>
              <w:bottom w:val="nil"/>
              <w:right w:val="nil"/>
            </w:tcBorders>
            <w:shd w:val="clear" w:color="auto" w:fill="auto"/>
            <w:noWrap/>
            <w:vAlign w:val="bottom"/>
            <w:hideMark/>
          </w:tcPr>
          <w:p w14:paraId="7B4F5D2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nil"/>
            </w:tcBorders>
            <w:shd w:val="clear" w:color="auto" w:fill="auto"/>
            <w:noWrap/>
            <w:vAlign w:val="bottom"/>
            <w:hideMark/>
          </w:tcPr>
          <w:p w14:paraId="2EB6245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1C9D293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54424C3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0E72A6C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680" w:type="dxa"/>
            <w:tcBorders>
              <w:top w:val="nil"/>
              <w:left w:val="nil"/>
              <w:bottom w:val="nil"/>
              <w:right w:val="nil"/>
            </w:tcBorders>
            <w:shd w:val="clear" w:color="auto" w:fill="auto"/>
            <w:noWrap/>
            <w:vAlign w:val="bottom"/>
            <w:hideMark/>
          </w:tcPr>
          <w:p w14:paraId="5F75277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28</w:t>
            </w:r>
          </w:p>
        </w:tc>
        <w:tc>
          <w:tcPr>
            <w:tcW w:w="1340" w:type="dxa"/>
            <w:tcBorders>
              <w:top w:val="nil"/>
              <w:left w:val="nil"/>
              <w:bottom w:val="nil"/>
              <w:right w:val="nil"/>
            </w:tcBorders>
            <w:shd w:val="clear" w:color="auto" w:fill="auto"/>
            <w:noWrap/>
            <w:vAlign w:val="bottom"/>
            <w:hideMark/>
          </w:tcPr>
          <w:p w14:paraId="2C77CDC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2560</w:t>
            </w:r>
          </w:p>
        </w:tc>
      </w:tr>
      <w:tr w:rsidR="00044023" w:rsidRPr="00044023" w14:paraId="298F4D71" w14:textId="77777777" w:rsidTr="00044023">
        <w:trPr>
          <w:trHeight w:val="125"/>
        </w:trPr>
        <w:tc>
          <w:tcPr>
            <w:tcW w:w="960" w:type="dxa"/>
            <w:tcBorders>
              <w:top w:val="nil"/>
              <w:left w:val="nil"/>
              <w:bottom w:val="nil"/>
              <w:right w:val="nil"/>
            </w:tcBorders>
            <w:shd w:val="clear" w:color="auto" w:fill="auto"/>
            <w:noWrap/>
            <w:vAlign w:val="bottom"/>
            <w:hideMark/>
          </w:tcPr>
          <w:p w14:paraId="244038F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1994</w:t>
            </w:r>
          </w:p>
        </w:tc>
        <w:tc>
          <w:tcPr>
            <w:tcW w:w="724" w:type="dxa"/>
            <w:tcBorders>
              <w:top w:val="nil"/>
              <w:left w:val="single" w:sz="4" w:space="0" w:color="auto"/>
              <w:bottom w:val="nil"/>
              <w:right w:val="nil"/>
            </w:tcBorders>
            <w:shd w:val="clear" w:color="auto" w:fill="auto"/>
            <w:noWrap/>
            <w:vAlign w:val="bottom"/>
            <w:hideMark/>
          </w:tcPr>
          <w:p w14:paraId="4ED52CB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4" w:type="dxa"/>
            <w:tcBorders>
              <w:top w:val="nil"/>
              <w:left w:val="nil"/>
              <w:bottom w:val="nil"/>
              <w:right w:val="nil"/>
            </w:tcBorders>
            <w:shd w:val="clear" w:color="auto" w:fill="auto"/>
            <w:noWrap/>
            <w:vAlign w:val="bottom"/>
            <w:hideMark/>
          </w:tcPr>
          <w:p w14:paraId="63209CE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nil"/>
            </w:tcBorders>
            <w:shd w:val="clear" w:color="auto" w:fill="auto"/>
            <w:noWrap/>
            <w:vAlign w:val="bottom"/>
            <w:hideMark/>
          </w:tcPr>
          <w:p w14:paraId="752F330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2EC4DAA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5105D79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682BC2C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680" w:type="dxa"/>
            <w:tcBorders>
              <w:top w:val="nil"/>
              <w:left w:val="nil"/>
              <w:bottom w:val="nil"/>
              <w:right w:val="nil"/>
            </w:tcBorders>
            <w:shd w:val="clear" w:color="auto" w:fill="auto"/>
            <w:noWrap/>
            <w:vAlign w:val="bottom"/>
            <w:hideMark/>
          </w:tcPr>
          <w:p w14:paraId="71DBEB6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w:t>
            </w:r>
          </w:p>
        </w:tc>
        <w:tc>
          <w:tcPr>
            <w:tcW w:w="1340" w:type="dxa"/>
            <w:tcBorders>
              <w:top w:val="nil"/>
              <w:left w:val="nil"/>
              <w:bottom w:val="nil"/>
              <w:right w:val="nil"/>
            </w:tcBorders>
            <w:shd w:val="clear" w:color="auto" w:fill="auto"/>
            <w:noWrap/>
            <w:vAlign w:val="bottom"/>
            <w:hideMark/>
          </w:tcPr>
          <w:p w14:paraId="1CE21D6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2585</w:t>
            </w:r>
          </w:p>
        </w:tc>
      </w:tr>
      <w:tr w:rsidR="00044023" w:rsidRPr="00044023" w14:paraId="07CB70EE" w14:textId="77777777" w:rsidTr="00044023">
        <w:trPr>
          <w:trHeight w:val="129"/>
        </w:trPr>
        <w:tc>
          <w:tcPr>
            <w:tcW w:w="960" w:type="dxa"/>
            <w:tcBorders>
              <w:top w:val="nil"/>
              <w:left w:val="nil"/>
              <w:bottom w:val="nil"/>
              <w:right w:val="nil"/>
            </w:tcBorders>
            <w:shd w:val="clear" w:color="auto" w:fill="auto"/>
            <w:noWrap/>
            <w:vAlign w:val="bottom"/>
            <w:hideMark/>
          </w:tcPr>
          <w:p w14:paraId="799AAB0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1995</w:t>
            </w:r>
          </w:p>
        </w:tc>
        <w:tc>
          <w:tcPr>
            <w:tcW w:w="724" w:type="dxa"/>
            <w:tcBorders>
              <w:top w:val="nil"/>
              <w:left w:val="single" w:sz="4" w:space="0" w:color="auto"/>
              <w:bottom w:val="nil"/>
              <w:right w:val="nil"/>
            </w:tcBorders>
            <w:shd w:val="clear" w:color="auto" w:fill="auto"/>
            <w:noWrap/>
            <w:vAlign w:val="bottom"/>
            <w:hideMark/>
          </w:tcPr>
          <w:p w14:paraId="3DA060F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4" w:type="dxa"/>
            <w:tcBorders>
              <w:top w:val="nil"/>
              <w:left w:val="nil"/>
              <w:bottom w:val="nil"/>
              <w:right w:val="nil"/>
            </w:tcBorders>
            <w:shd w:val="clear" w:color="auto" w:fill="auto"/>
            <w:noWrap/>
            <w:vAlign w:val="bottom"/>
            <w:hideMark/>
          </w:tcPr>
          <w:p w14:paraId="4CB3F45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2EB0771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42D5283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06737ED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17D51FC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680" w:type="dxa"/>
            <w:tcBorders>
              <w:top w:val="nil"/>
              <w:left w:val="nil"/>
              <w:bottom w:val="nil"/>
              <w:right w:val="nil"/>
            </w:tcBorders>
            <w:shd w:val="clear" w:color="auto" w:fill="auto"/>
            <w:noWrap/>
            <w:vAlign w:val="bottom"/>
            <w:hideMark/>
          </w:tcPr>
          <w:p w14:paraId="6630AE7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w:t>
            </w:r>
          </w:p>
        </w:tc>
        <w:tc>
          <w:tcPr>
            <w:tcW w:w="1340" w:type="dxa"/>
            <w:tcBorders>
              <w:top w:val="nil"/>
              <w:left w:val="nil"/>
              <w:bottom w:val="nil"/>
              <w:right w:val="nil"/>
            </w:tcBorders>
            <w:shd w:val="clear" w:color="auto" w:fill="auto"/>
            <w:noWrap/>
            <w:vAlign w:val="bottom"/>
            <w:hideMark/>
          </w:tcPr>
          <w:p w14:paraId="74A20CA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2607</w:t>
            </w:r>
          </w:p>
        </w:tc>
      </w:tr>
      <w:tr w:rsidR="00044023" w:rsidRPr="00044023" w14:paraId="03C77580" w14:textId="77777777" w:rsidTr="00044023">
        <w:trPr>
          <w:trHeight w:val="119"/>
        </w:trPr>
        <w:tc>
          <w:tcPr>
            <w:tcW w:w="960" w:type="dxa"/>
            <w:tcBorders>
              <w:top w:val="nil"/>
              <w:left w:val="nil"/>
              <w:bottom w:val="nil"/>
              <w:right w:val="nil"/>
            </w:tcBorders>
            <w:shd w:val="clear" w:color="auto" w:fill="auto"/>
            <w:noWrap/>
            <w:vAlign w:val="bottom"/>
            <w:hideMark/>
          </w:tcPr>
          <w:p w14:paraId="22B8186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1996</w:t>
            </w:r>
          </w:p>
        </w:tc>
        <w:tc>
          <w:tcPr>
            <w:tcW w:w="724" w:type="dxa"/>
            <w:tcBorders>
              <w:top w:val="nil"/>
              <w:left w:val="single" w:sz="4" w:space="0" w:color="auto"/>
              <w:bottom w:val="nil"/>
              <w:right w:val="nil"/>
            </w:tcBorders>
            <w:shd w:val="clear" w:color="auto" w:fill="auto"/>
            <w:noWrap/>
            <w:vAlign w:val="bottom"/>
            <w:hideMark/>
          </w:tcPr>
          <w:p w14:paraId="0B8DEFC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4" w:type="dxa"/>
            <w:tcBorders>
              <w:top w:val="nil"/>
              <w:left w:val="nil"/>
              <w:bottom w:val="nil"/>
              <w:right w:val="nil"/>
            </w:tcBorders>
            <w:shd w:val="clear" w:color="auto" w:fill="auto"/>
            <w:noWrap/>
            <w:vAlign w:val="bottom"/>
            <w:hideMark/>
          </w:tcPr>
          <w:p w14:paraId="5F33970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5934DDA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5C29074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2D09B31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68287A4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680" w:type="dxa"/>
            <w:tcBorders>
              <w:top w:val="nil"/>
              <w:left w:val="nil"/>
              <w:bottom w:val="nil"/>
              <w:right w:val="nil"/>
            </w:tcBorders>
            <w:shd w:val="clear" w:color="auto" w:fill="auto"/>
            <w:noWrap/>
            <w:vAlign w:val="bottom"/>
            <w:hideMark/>
          </w:tcPr>
          <w:p w14:paraId="73E8F35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w:t>
            </w:r>
          </w:p>
        </w:tc>
        <w:tc>
          <w:tcPr>
            <w:tcW w:w="1340" w:type="dxa"/>
            <w:tcBorders>
              <w:top w:val="nil"/>
              <w:left w:val="nil"/>
              <w:bottom w:val="nil"/>
              <w:right w:val="nil"/>
            </w:tcBorders>
            <w:shd w:val="clear" w:color="auto" w:fill="auto"/>
            <w:noWrap/>
            <w:vAlign w:val="bottom"/>
            <w:hideMark/>
          </w:tcPr>
          <w:p w14:paraId="4ACBB40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2627</w:t>
            </w:r>
          </w:p>
        </w:tc>
      </w:tr>
      <w:tr w:rsidR="00044023" w:rsidRPr="00044023" w14:paraId="2276C38D" w14:textId="77777777" w:rsidTr="00044023">
        <w:trPr>
          <w:trHeight w:val="110"/>
        </w:trPr>
        <w:tc>
          <w:tcPr>
            <w:tcW w:w="960" w:type="dxa"/>
            <w:tcBorders>
              <w:top w:val="nil"/>
              <w:left w:val="nil"/>
              <w:bottom w:val="nil"/>
              <w:right w:val="nil"/>
            </w:tcBorders>
            <w:shd w:val="clear" w:color="auto" w:fill="auto"/>
            <w:noWrap/>
            <w:vAlign w:val="bottom"/>
            <w:hideMark/>
          </w:tcPr>
          <w:p w14:paraId="15F35F0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1997</w:t>
            </w:r>
          </w:p>
        </w:tc>
        <w:tc>
          <w:tcPr>
            <w:tcW w:w="724" w:type="dxa"/>
            <w:tcBorders>
              <w:top w:val="nil"/>
              <w:left w:val="single" w:sz="4" w:space="0" w:color="auto"/>
              <w:bottom w:val="nil"/>
              <w:right w:val="nil"/>
            </w:tcBorders>
            <w:shd w:val="clear" w:color="auto" w:fill="auto"/>
            <w:noWrap/>
            <w:vAlign w:val="bottom"/>
            <w:hideMark/>
          </w:tcPr>
          <w:p w14:paraId="3490895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4" w:type="dxa"/>
            <w:tcBorders>
              <w:top w:val="nil"/>
              <w:left w:val="nil"/>
              <w:bottom w:val="nil"/>
              <w:right w:val="nil"/>
            </w:tcBorders>
            <w:shd w:val="clear" w:color="auto" w:fill="auto"/>
            <w:noWrap/>
            <w:vAlign w:val="bottom"/>
            <w:hideMark/>
          </w:tcPr>
          <w:p w14:paraId="27F1E8F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0682DFB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65CE1C3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2F1E546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39990A7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680" w:type="dxa"/>
            <w:tcBorders>
              <w:top w:val="nil"/>
              <w:left w:val="nil"/>
              <w:bottom w:val="nil"/>
              <w:right w:val="nil"/>
            </w:tcBorders>
            <w:shd w:val="clear" w:color="auto" w:fill="auto"/>
            <w:noWrap/>
            <w:vAlign w:val="bottom"/>
            <w:hideMark/>
          </w:tcPr>
          <w:p w14:paraId="3F33A4F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18</w:t>
            </w:r>
          </w:p>
        </w:tc>
        <w:tc>
          <w:tcPr>
            <w:tcW w:w="1340" w:type="dxa"/>
            <w:tcBorders>
              <w:top w:val="nil"/>
              <w:left w:val="nil"/>
              <w:bottom w:val="nil"/>
              <w:right w:val="nil"/>
            </w:tcBorders>
            <w:shd w:val="clear" w:color="auto" w:fill="auto"/>
            <w:noWrap/>
            <w:vAlign w:val="bottom"/>
            <w:hideMark/>
          </w:tcPr>
          <w:p w14:paraId="3B4D605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2645</w:t>
            </w:r>
          </w:p>
        </w:tc>
      </w:tr>
      <w:tr w:rsidR="00044023" w:rsidRPr="00044023" w14:paraId="03BF2404" w14:textId="77777777" w:rsidTr="00044023">
        <w:trPr>
          <w:trHeight w:val="113"/>
        </w:trPr>
        <w:tc>
          <w:tcPr>
            <w:tcW w:w="960" w:type="dxa"/>
            <w:tcBorders>
              <w:top w:val="nil"/>
              <w:left w:val="nil"/>
              <w:bottom w:val="nil"/>
              <w:right w:val="nil"/>
            </w:tcBorders>
            <w:shd w:val="clear" w:color="auto" w:fill="auto"/>
            <w:noWrap/>
            <w:vAlign w:val="bottom"/>
            <w:hideMark/>
          </w:tcPr>
          <w:p w14:paraId="4138C40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1998</w:t>
            </w:r>
          </w:p>
        </w:tc>
        <w:tc>
          <w:tcPr>
            <w:tcW w:w="724" w:type="dxa"/>
            <w:tcBorders>
              <w:top w:val="nil"/>
              <w:left w:val="single" w:sz="4" w:space="0" w:color="auto"/>
              <w:bottom w:val="nil"/>
              <w:right w:val="nil"/>
            </w:tcBorders>
            <w:shd w:val="clear" w:color="auto" w:fill="auto"/>
            <w:noWrap/>
            <w:vAlign w:val="bottom"/>
            <w:hideMark/>
          </w:tcPr>
          <w:p w14:paraId="39C5F9A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4" w:type="dxa"/>
            <w:tcBorders>
              <w:top w:val="nil"/>
              <w:left w:val="nil"/>
              <w:bottom w:val="nil"/>
              <w:right w:val="nil"/>
            </w:tcBorders>
            <w:shd w:val="clear" w:color="auto" w:fill="auto"/>
            <w:noWrap/>
            <w:vAlign w:val="bottom"/>
            <w:hideMark/>
          </w:tcPr>
          <w:p w14:paraId="7B07F1E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7AD73FF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2EBEEBD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6D6A2E4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1D7D78B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680" w:type="dxa"/>
            <w:tcBorders>
              <w:top w:val="nil"/>
              <w:left w:val="nil"/>
              <w:bottom w:val="nil"/>
              <w:right w:val="nil"/>
            </w:tcBorders>
            <w:shd w:val="clear" w:color="auto" w:fill="auto"/>
            <w:noWrap/>
            <w:vAlign w:val="bottom"/>
            <w:hideMark/>
          </w:tcPr>
          <w:p w14:paraId="718BC23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w:t>
            </w:r>
          </w:p>
        </w:tc>
        <w:tc>
          <w:tcPr>
            <w:tcW w:w="1340" w:type="dxa"/>
            <w:tcBorders>
              <w:top w:val="nil"/>
              <w:left w:val="nil"/>
              <w:bottom w:val="nil"/>
              <w:right w:val="nil"/>
            </w:tcBorders>
            <w:shd w:val="clear" w:color="auto" w:fill="auto"/>
            <w:noWrap/>
            <w:vAlign w:val="bottom"/>
            <w:hideMark/>
          </w:tcPr>
          <w:p w14:paraId="19A5ABD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2661</w:t>
            </w:r>
          </w:p>
        </w:tc>
      </w:tr>
      <w:tr w:rsidR="00044023" w:rsidRPr="00044023" w14:paraId="0CF08698" w14:textId="77777777" w:rsidTr="00044023">
        <w:trPr>
          <w:trHeight w:val="104"/>
        </w:trPr>
        <w:tc>
          <w:tcPr>
            <w:tcW w:w="960" w:type="dxa"/>
            <w:tcBorders>
              <w:top w:val="nil"/>
              <w:left w:val="nil"/>
              <w:bottom w:val="nil"/>
              <w:right w:val="nil"/>
            </w:tcBorders>
            <w:shd w:val="clear" w:color="auto" w:fill="auto"/>
            <w:noWrap/>
            <w:vAlign w:val="bottom"/>
            <w:hideMark/>
          </w:tcPr>
          <w:p w14:paraId="56D5620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1999</w:t>
            </w:r>
          </w:p>
        </w:tc>
        <w:tc>
          <w:tcPr>
            <w:tcW w:w="724" w:type="dxa"/>
            <w:tcBorders>
              <w:top w:val="nil"/>
              <w:left w:val="single" w:sz="4" w:space="0" w:color="auto"/>
              <w:bottom w:val="nil"/>
              <w:right w:val="nil"/>
            </w:tcBorders>
            <w:shd w:val="clear" w:color="auto" w:fill="auto"/>
            <w:noWrap/>
            <w:vAlign w:val="bottom"/>
            <w:hideMark/>
          </w:tcPr>
          <w:p w14:paraId="531F7A3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4" w:type="dxa"/>
            <w:tcBorders>
              <w:top w:val="nil"/>
              <w:left w:val="nil"/>
              <w:bottom w:val="nil"/>
              <w:right w:val="nil"/>
            </w:tcBorders>
            <w:shd w:val="clear" w:color="auto" w:fill="auto"/>
            <w:noWrap/>
            <w:vAlign w:val="bottom"/>
            <w:hideMark/>
          </w:tcPr>
          <w:p w14:paraId="799F921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79B4C34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26B4D19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01DA44E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2D916B9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680" w:type="dxa"/>
            <w:tcBorders>
              <w:top w:val="nil"/>
              <w:left w:val="nil"/>
              <w:bottom w:val="nil"/>
              <w:right w:val="nil"/>
            </w:tcBorders>
            <w:shd w:val="clear" w:color="auto" w:fill="auto"/>
            <w:noWrap/>
            <w:vAlign w:val="bottom"/>
            <w:hideMark/>
          </w:tcPr>
          <w:p w14:paraId="3ED86ED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14</w:t>
            </w:r>
          </w:p>
        </w:tc>
        <w:tc>
          <w:tcPr>
            <w:tcW w:w="1340" w:type="dxa"/>
            <w:tcBorders>
              <w:top w:val="nil"/>
              <w:left w:val="nil"/>
              <w:bottom w:val="nil"/>
              <w:right w:val="nil"/>
            </w:tcBorders>
            <w:shd w:val="clear" w:color="auto" w:fill="auto"/>
            <w:noWrap/>
            <w:vAlign w:val="bottom"/>
            <w:hideMark/>
          </w:tcPr>
          <w:p w14:paraId="10223FA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2675</w:t>
            </w:r>
          </w:p>
        </w:tc>
      </w:tr>
      <w:tr w:rsidR="00044023" w:rsidRPr="00044023" w14:paraId="1C5EE97E" w14:textId="77777777" w:rsidTr="00044023">
        <w:trPr>
          <w:trHeight w:val="107"/>
        </w:trPr>
        <w:tc>
          <w:tcPr>
            <w:tcW w:w="960" w:type="dxa"/>
            <w:tcBorders>
              <w:top w:val="nil"/>
              <w:left w:val="nil"/>
              <w:bottom w:val="nil"/>
              <w:right w:val="nil"/>
            </w:tcBorders>
            <w:shd w:val="clear" w:color="auto" w:fill="auto"/>
            <w:noWrap/>
            <w:vAlign w:val="bottom"/>
            <w:hideMark/>
          </w:tcPr>
          <w:p w14:paraId="02682D0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2000</w:t>
            </w:r>
          </w:p>
        </w:tc>
        <w:tc>
          <w:tcPr>
            <w:tcW w:w="724" w:type="dxa"/>
            <w:tcBorders>
              <w:top w:val="nil"/>
              <w:left w:val="single" w:sz="4" w:space="0" w:color="auto"/>
              <w:bottom w:val="nil"/>
              <w:right w:val="nil"/>
            </w:tcBorders>
            <w:shd w:val="clear" w:color="auto" w:fill="auto"/>
            <w:noWrap/>
            <w:vAlign w:val="bottom"/>
            <w:hideMark/>
          </w:tcPr>
          <w:p w14:paraId="7194BED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4" w:type="dxa"/>
            <w:tcBorders>
              <w:top w:val="nil"/>
              <w:left w:val="nil"/>
              <w:bottom w:val="nil"/>
              <w:right w:val="nil"/>
            </w:tcBorders>
            <w:shd w:val="clear" w:color="auto" w:fill="auto"/>
            <w:noWrap/>
            <w:vAlign w:val="bottom"/>
            <w:hideMark/>
          </w:tcPr>
          <w:p w14:paraId="7269E84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640159D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22E069C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16475EA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4B07C2B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680" w:type="dxa"/>
            <w:tcBorders>
              <w:top w:val="nil"/>
              <w:left w:val="nil"/>
              <w:bottom w:val="nil"/>
              <w:right w:val="nil"/>
            </w:tcBorders>
            <w:shd w:val="clear" w:color="auto" w:fill="auto"/>
            <w:noWrap/>
            <w:vAlign w:val="bottom"/>
            <w:hideMark/>
          </w:tcPr>
          <w:p w14:paraId="03C6360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1340" w:type="dxa"/>
            <w:tcBorders>
              <w:top w:val="nil"/>
              <w:left w:val="nil"/>
              <w:bottom w:val="nil"/>
              <w:right w:val="nil"/>
            </w:tcBorders>
            <w:shd w:val="clear" w:color="auto" w:fill="auto"/>
            <w:noWrap/>
            <w:vAlign w:val="bottom"/>
            <w:hideMark/>
          </w:tcPr>
          <w:p w14:paraId="6613B04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2688</w:t>
            </w:r>
          </w:p>
        </w:tc>
      </w:tr>
      <w:tr w:rsidR="00044023" w:rsidRPr="00044023" w14:paraId="75BCDD29" w14:textId="77777777" w:rsidTr="00044023">
        <w:trPr>
          <w:trHeight w:val="98"/>
        </w:trPr>
        <w:tc>
          <w:tcPr>
            <w:tcW w:w="960" w:type="dxa"/>
            <w:tcBorders>
              <w:top w:val="nil"/>
              <w:left w:val="nil"/>
              <w:bottom w:val="nil"/>
              <w:right w:val="nil"/>
            </w:tcBorders>
            <w:shd w:val="clear" w:color="auto" w:fill="auto"/>
            <w:noWrap/>
            <w:vAlign w:val="bottom"/>
            <w:hideMark/>
          </w:tcPr>
          <w:p w14:paraId="00303BC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2001</w:t>
            </w:r>
          </w:p>
        </w:tc>
        <w:tc>
          <w:tcPr>
            <w:tcW w:w="724" w:type="dxa"/>
            <w:tcBorders>
              <w:top w:val="nil"/>
              <w:left w:val="single" w:sz="4" w:space="0" w:color="auto"/>
              <w:bottom w:val="nil"/>
              <w:right w:val="nil"/>
            </w:tcBorders>
            <w:shd w:val="clear" w:color="auto" w:fill="auto"/>
            <w:noWrap/>
            <w:vAlign w:val="bottom"/>
            <w:hideMark/>
          </w:tcPr>
          <w:p w14:paraId="5570F85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4" w:type="dxa"/>
            <w:tcBorders>
              <w:top w:val="nil"/>
              <w:left w:val="nil"/>
              <w:bottom w:val="nil"/>
              <w:right w:val="nil"/>
            </w:tcBorders>
            <w:shd w:val="clear" w:color="auto" w:fill="auto"/>
            <w:noWrap/>
            <w:vAlign w:val="bottom"/>
            <w:hideMark/>
          </w:tcPr>
          <w:p w14:paraId="69F3CEF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4956B14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1DDC578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2915876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39F7E28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680" w:type="dxa"/>
            <w:tcBorders>
              <w:top w:val="nil"/>
              <w:left w:val="nil"/>
              <w:bottom w:val="nil"/>
              <w:right w:val="nil"/>
            </w:tcBorders>
            <w:shd w:val="clear" w:color="auto" w:fill="auto"/>
            <w:noWrap/>
            <w:vAlign w:val="bottom"/>
            <w:hideMark/>
          </w:tcPr>
          <w:p w14:paraId="75B9BDF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1340" w:type="dxa"/>
            <w:tcBorders>
              <w:top w:val="nil"/>
              <w:left w:val="nil"/>
              <w:bottom w:val="nil"/>
              <w:right w:val="nil"/>
            </w:tcBorders>
            <w:shd w:val="clear" w:color="auto" w:fill="auto"/>
            <w:noWrap/>
            <w:vAlign w:val="bottom"/>
            <w:hideMark/>
          </w:tcPr>
          <w:p w14:paraId="71B988A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2700</w:t>
            </w:r>
          </w:p>
        </w:tc>
      </w:tr>
      <w:tr w:rsidR="00044023" w:rsidRPr="00044023" w14:paraId="650AEC9D" w14:textId="77777777" w:rsidTr="00044023">
        <w:trPr>
          <w:trHeight w:val="229"/>
        </w:trPr>
        <w:tc>
          <w:tcPr>
            <w:tcW w:w="960" w:type="dxa"/>
            <w:tcBorders>
              <w:top w:val="nil"/>
              <w:left w:val="nil"/>
              <w:bottom w:val="nil"/>
              <w:right w:val="nil"/>
            </w:tcBorders>
            <w:shd w:val="clear" w:color="auto" w:fill="auto"/>
            <w:noWrap/>
            <w:vAlign w:val="bottom"/>
            <w:hideMark/>
          </w:tcPr>
          <w:p w14:paraId="697D746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2002</w:t>
            </w:r>
          </w:p>
        </w:tc>
        <w:tc>
          <w:tcPr>
            <w:tcW w:w="724" w:type="dxa"/>
            <w:tcBorders>
              <w:top w:val="nil"/>
              <w:left w:val="single" w:sz="4" w:space="0" w:color="auto"/>
              <w:bottom w:val="nil"/>
              <w:right w:val="nil"/>
            </w:tcBorders>
            <w:shd w:val="clear" w:color="auto" w:fill="auto"/>
            <w:noWrap/>
            <w:vAlign w:val="bottom"/>
            <w:hideMark/>
          </w:tcPr>
          <w:p w14:paraId="0CE6FBF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4" w:type="dxa"/>
            <w:tcBorders>
              <w:top w:val="nil"/>
              <w:left w:val="nil"/>
              <w:bottom w:val="nil"/>
              <w:right w:val="nil"/>
            </w:tcBorders>
            <w:shd w:val="clear" w:color="auto" w:fill="auto"/>
            <w:noWrap/>
            <w:vAlign w:val="bottom"/>
            <w:hideMark/>
          </w:tcPr>
          <w:p w14:paraId="145D123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518FA50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EBA3B4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198209A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2CB9689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680" w:type="dxa"/>
            <w:tcBorders>
              <w:top w:val="nil"/>
              <w:left w:val="nil"/>
              <w:bottom w:val="nil"/>
              <w:right w:val="nil"/>
            </w:tcBorders>
            <w:shd w:val="clear" w:color="auto" w:fill="auto"/>
            <w:noWrap/>
            <w:vAlign w:val="bottom"/>
            <w:hideMark/>
          </w:tcPr>
          <w:p w14:paraId="5FED6A2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1340" w:type="dxa"/>
            <w:tcBorders>
              <w:top w:val="nil"/>
              <w:left w:val="nil"/>
              <w:bottom w:val="nil"/>
              <w:right w:val="nil"/>
            </w:tcBorders>
            <w:shd w:val="clear" w:color="auto" w:fill="auto"/>
            <w:noWrap/>
            <w:vAlign w:val="bottom"/>
            <w:hideMark/>
          </w:tcPr>
          <w:p w14:paraId="320E2E1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2710</w:t>
            </w:r>
          </w:p>
        </w:tc>
      </w:tr>
      <w:tr w:rsidR="00044023" w:rsidRPr="00044023" w14:paraId="7E383292" w14:textId="77777777" w:rsidTr="00044023">
        <w:trPr>
          <w:trHeight w:val="234"/>
        </w:trPr>
        <w:tc>
          <w:tcPr>
            <w:tcW w:w="960" w:type="dxa"/>
            <w:tcBorders>
              <w:top w:val="nil"/>
              <w:left w:val="nil"/>
              <w:bottom w:val="nil"/>
              <w:right w:val="nil"/>
            </w:tcBorders>
            <w:shd w:val="clear" w:color="auto" w:fill="auto"/>
            <w:noWrap/>
            <w:vAlign w:val="bottom"/>
            <w:hideMark/>
          </w:tcPr>
          <w:p w14:paraId="6F242F1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2003</w:t>
            </w:r>
          </w:p>
        </w:tc>
        <w:tc>
          <w:tcPr>
            <w:tcW w:w="724" w:type="dxa"/>
            <w:tcBorders>
              <w:top w:val="nil"/>
              <w:left w:val="single" w:sz="4" w:space="0" w:color="auto"/>
              <w:bottom w:val="nil"/>
              <w:right w:val="nil"/>
            </w:tcBorders>
            <w:shd w:val="clear" w:color="auto" w:fill="auto"/>
            <w:noWrap/>
            <w:vAlign w:val="bottom"/>
            <w:hideMark/>
          </w:tcPr>
          <w:p w14:paraId="5A2F0F9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4" w:type="dxa"/>
            <w:tcBorders>
              <w:top w:val="nil"/>
              <w:left w:val="nil"/>
              <w:bottom w:val="nil"/>
              <w:right w:val="nil"/>
            </w:tcBorders>
            <w:shd w:val="clear" w:color="auto" w:fill="auto"/>
            <w:noWrap/>
            <w:vAlign w:val="bottom"/>
            <w:hideMark/>
          </w:tcPr>
          <w:p w14:paraId="5A771C4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2683CD1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2960DA2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39D02D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3983170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680" w:type="dxa"/>
            <w:tcBorders>
              <w:top w:val="nil"/>
              <w:left w:val="nil"/>
              <w:bottom w:val="nil"/>
              <w:right w:val="nil"/>
            </w:tcBorders>
            <w:shd w:val="clear" w:color="auto" w:fill="auto"/>
            <w:noWrap/>
            <w:vAlign w:val="bottom"/>
            <w:hideMark/>
          </w:tcPr>
          <w:p w14:paraId="7517130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1340" w:type="dxa"/>
            <w:tcBorders>
              <w:top w:val="nil"/>
              <w:left w:val="nil"/>
              <w:bottom w:val="nil"/>
              <w:right w:val="nil"/>
            </w:tcBorders>
            <w:shd w:val="clear" w:color="auto" w:fill="auto"/>
            <w:noWrap/>
            <w:vAlign w:val="bottom"/>
            <w:hideMark/>
          </w:tcPr>
          <w:p w14:paraId="1140CE5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2719</w:t>
            </w:r>
          </w:p>
        </w:tc>
      </w:tr>
      <w:tr w:rsidR="00044023" w:rsidRPr="00044023" w14:paraId="23516902" w14:textId="77777777" w:rsidTr="00044023">
        <w:trPr>
          <w:trHeight w:val="223"/>
        </w:trPr>
        <w:tc>
          <w:tcPr>
            <w:tcW w:w="960" w:type="dxa"/>
            <w:tcBorders>
              <w:top w:val="nil"/>
              <w:left w:val="nil"/>
              <w:bottom w:val="nil"/>
              <w:right w:val="nil"/>
            </w:tcBorders>
            <w:shd w:val="clear" w:color="auto" w:fill="auto"/>
            <w:noWrap/>
            <w:vAlign w:val="bottom"/>
            <w:hideMark/>
          </w:tcPr>
          <w:p w14:paraId="4CF904D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2004</w:t>
            </w:r>
          </w:p>
        </w:tc>
        <w:tc>
          <w:tcPr>
            <w:tcW w:w="724" w:type="dxa"/>
            <w:tcBorders>
              <w:top w:val="nil"/>
              <w:left w:val="single" w:sz="4" w:space="0" w:color="auto"/>
              <w:bottom w:val="nil"/>
              <w:right w:val="nil"/>
            </w:tcBorders>
            <w:shd w:val="clear" w:color="auto" w:fill="auto"/>
            <w:noWrap/>
            <w:vAlign w:val="bottom"/>
            <w:hideMark/>
          </w:tcPr>
          <w:p w14:paraId="083CC65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4" w:type="dxa"/>
            <w:tcBorders>
              <w:top w:val="nil"/>
              <w:left w:val="nil"/>
              <w:bottom w:val="nil"/>
              <w:right w:val="nil"/>
            </w:tcBorders>
            <w:shd w:val="clear" w:color="auto" w:fill="auto"/>
            <w:noWrap/>
            <w:vAlign w:val="bottom"/>
            <w:hideMark/>
          </w:tcPr>
          <w:p w14:paraId="1E91BD9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5823165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551D8C5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699E5D1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7B6639F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1BCB515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1340" w:type="dxa"/>
            <w:tcBorders>
              <w:top w:val="nil"/>
              <w:left w:val="nil"/>
              <w:bottom w:val="nil"/>
              <w:right w:val="nil"/>
            </w:tcBorders>
            <w:shd w:val="clear" w:color="auto" w:fill="auto"/>
            <w:noWrap/>
            <w:vAlign w:val="bottom"/>
            <w:hideMark/>
          </w:tcPr>
          <w:p w14:paraId="61FC338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2728</w:t>
            </w:r>
          </w:p>
        </w:tc>
      </w:tr>
      <w:tr w:rsidR="00044023" w:rsidRPr="00044023" w14:paraId="7312AD6F" w14:textId="77777777" w:rsidTr="00044023">
        <w:trPr>
          <w:trHeight w:val="228"/>
        </w:trPr>
        <w:tc>
          <w:tcPr>
            <w:tcW w:w="960" w:type="dxa"/>
            <w:tcBorders>
              <w:top w:val="nil"/>
              <w:left w:val="nil"/>
              <w:bottom w:val="nil"/>
              <w:right w:val="nil"/>
            </w:tcBorders>
            <w:shd w:val="clear" w:color="auto" w:fill="auto"/>
            <w:noWrap/>
            <w:vAlign w:val="bottom"/>
            <w:hideMark/>
          </w:tcPr>
          <w:p w14:paraId="0536369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2005</w:t>
            </w:r>
          </w:p>
        </w:tc>
        <w:tc>
          <w:tcPr>
            <w:tcW w:w="724" w:type="dxa"/>
            <w:tcBorders>
              <w:top w:val="nil"/>
              <w:left w:val="single" w:sz="4" w:space="0" w:color="auto"/>
              <w:bottom w:val="nil"/>
              <w:right w:val="nil"/>
            </w:tcBorders>
            <w:shd w:val="clear" w:color="auto" w:fill="auto"/>
            <w:noWrap/>
            <w:vAlign w:val="bottom"/>
            <w:hideMark/>
          </w:tcPr>
          <w:p w14:paraId="0BD8EF9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4" w:type="dxa"/>
            <w:tcBorders>
              <w:top w:val="nil"/>
              <w:left w:val="nil"/>
              <w:bottom w:val="nil"/>
              <w:right w:val="nil"/>
            </w:tcBorders>
            <w:shd w:val="clear" w:color="auto" w:fill="auto"/>
            <w:noWrap/>
            <w:vAlign w:val="bottom"/>
            <w:hideMark/>
          </w:tcPr>
          <w:p w14:paraId="1C6B1D5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545144A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4CC3C7C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DD3387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7B290E2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7110FCD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1340" w:type="dxa"/>
            <w:tcBorders>
              <w:top w:val="nil"/>
              <w:left w:val="nil"/>
              <w:bottom w:val="nil"/>
              <w:right w:val="nil"/>
            </w:tcBorders>
            <w:shd w:val="clear" w:color="auto" w:fill="auto"/>
            <w:noWrap/>
            <w:vAlign w:val="bottom"/>
            <w:hideMark/>
          </w:tcPr>
          <w:p w14:paraId="33C04B3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2736</w:t>
            </w:r>
          </w:p>
        </w:tc>
      </w:tr>
      <w:tr w:rsidR="00044023" w:rsidRPr="00044023" w14:paraId="56DA0AAB" w14:textId="77777777" w:rsidTr="00044023">
        <w:trPr>
          <w:trHeight w:val="217"/>
        </w:trPr>
        <w:tc>
          <w:tcPr>
            <w:tcW w:w="960" w:type="dxa"/>
            <w:tcBorders>
              <w:top w:val="nil"/>
              <w:left w:val="nil"/>
              <w:bottom w:val="nil"/>
              <w:right w:val="nil"/>
            </w:tcBorders>
            <w:shd w:val="clear" w:color="auto" w:fill="auto"/>
            <w:noWrap/>
            <w:vAlign w:val="bottom"/>
            <w:hideMark/>
          </w:tcPr>
          <w:p w14:paraId="2E94727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2006</w:t>
            </w:r>
          </w:p>
        </w:tc>
        <w:tc>
          <w:tcPr>
            <w:tcW w:w="724" w:type="dxa"/>
            <w:tcBorders>
              <w:top w:val="nil"/>
              <w:left w:val="single" w:sz="4" w:space="0" w:color="auto"/>
              <w:bottom w:val="nil"/>
              <w:right w:val="nil"/>
            </w:tcBorders>
            <w:shd w:val="clear" w:color="auto" w:fill="auto"/>
            <w:noWrap/>
            <w:vAlign w:val="bottom"/>
            <w:hideMark/>
          </w:tcPr>
          <w:p w14:paraId="0FF7EB8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4" w:type="dxa"/>
            <w:tcBorders>
              <w:top w:val="nil"/>
              <w:left w:val="nil"/>
              <w:bottom w:val="nil"/>
              <w:right w:val="nil"/>
            </w:tcBorders>
            <w:shd w:val="clear" w:color="auto" w:fill="auto"/>
            <w:noWrap/>
            <w:vAlign w:val="bottom"/>
            <w:hideMark/>
          </w:tcPr>
          <w:p w14:paraId="3512E7D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3155087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26334DA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1937840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01D17B8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5C7DBD1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1340" w:type="dxa"/>
            <w:tcBorders>
              <w:top w:val="nil"/>
              <w:left w:val="nil"/>
              <w:bottom w:val="nil"/>
              <w:right w:val="nil"/>
            </w:tcBorders>
            <w:shd w:val="clear" w:color="auto" w:fill="auto"/>
            <w:noWrap/>
            <w:vAlign w:val="bottom"/>
            <w:hideMark/>
          </w:tcPr>
          <w:p w14:paraId="5ECC18A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2743</w:t>
            </w:r>
          </w:p>
        </w:tc>
      </w:tr>
      <w:tr w:rsidR="00044023" w:rsidRPr="00044023" w14:paraId="1E31CCC6" w14:textId="77777777" w:rsidTr="003400A5">
        <w:trPr>
          <w:trHeight w:val="68"/>
        </w:trPr>
        <w:tc>
          <w:tcPr>
            <w:tcW w:w="960" w:type="dxa"/>
            <w:tcBorders>
              <w:top w:val="nil"/>
              <w:left w:val="nil"/>
              <w:bottom w:val="nil"/>
              <w:right w:val="nil"/>
            </w:tcBorders>
            <w:shd w:val="clear" w:color="auto" w:fill="auto"/>
            <w:noWrap/>
            <w:vAlign w:val="bottom"/>
            <w:hideMark/>
          </w:tcPr>
          <w:p w14:paraId="05D819B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2007</w:t>
            </w:r>
          </w:p>
        </w:tc>
        <w:tc>
          <w:tcPr>
            <w:tcW w:w="724" w:type="dxa"/>
            <w:tcBorders>
              <w:top w:val="nil"/>
              <w:left w:val="single" w:sz="4" w:space="0" w:color="auto"/>
              <w:bottom w:val="nil"/>
              <w:right w:val="nil"/>
            </w:tcBorders>
            <w:shd w:val="clear" w:color="auto" w:fill="auto"/>
            <w:noWrap/>
            <w:vAlign w:val="bottom"/>
            <w:hideMark/>
          </w:tcPr>
          <w:p w14:paraId="4E5F41E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4" w:type="dxa"/>
            <w:tcBorders>
              <w:top w:val="nil"/>
              <w:left w:val="nil"/>
              <w:bottom w:val="nil"/>
              <w:right w:val="nil"/>
            </w:tcBorders>
            <w:shd w:val="clear" w:color="auto" w:fill="auto"/>
            <w:noWrap/>
            <w:vAlign w:val="bottom"/>
            <w:hideMark/>
          </w:tcPr>
          <w:p w14:paraId="3770B64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7A0E915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1BE9DF7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762EA8A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7707FE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08BB88C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1340" w:type="dxa"/>
            <w:tcBorders>
              <w:top w:val="nil"/>
              <w:left w:val="nil"/>
              <w:bottom w:val="nil"/>
              <w:right w:val="nil"/>
            </w:tcBorders>
            <w:shd w:val="clear" w:color="auto" w:fill="auto"/>
            <w:noWrap/>
            <w:vAlign w:val="bottom"/>
            <w:hideMark/>
          </w:tcPr>
          <w:p w14:paraId="1D7B4C7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2749</w:t>
            </w:r>
          </w:p>
        </w:tc>
      </w:tr>
      <w:tr w:rsidR="00044023" w:rsidRPr="00044023" w14:paraId="4D7B03E9" w14:textId="77777777" w:rsidTr="00044023">
        <w:trPr>
          <w:trHeight w:val="211"/>
        </w:trPr>
        <w:tc>
          <w:tcPr>
            <w:tcW w:w="960" w:type="dxa"/>
            <w:tcBorders>
              <w:top w:val="nil"/>
              <w:left w:val="nil"/>
              <w:bottom w:val="nil"/>
              <w:right w:val="nil"/>
            </w:tcBorders>
            <w:shd w:val="clear" w:color="auto" w:fill="auto"/>
            <w:noWrap/>
            <w:vAlign w:val="bottom"/>
            <w:hideMark/>
          </w:tcPr>
          <w:p w14:paraId="7789835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2008</w:t>
            </w:r>
          </w:p>
        </w:tc>
        <w:tc>
          <w:tcPr>
            <w:tcW w:w="724" w:type="dxa"/>
            <w:tcBorders>
              <w:top w:val="nil"/>
              <w:left w:val="single" w:sz="4" w:space="0" w:color="auto"/>
              <w:bottom w:val="nil"/>
              <w:right w:val="nil"/>
            </w:tcBorders>
            <w:shd w:val="clear" w:color="auto" w:fill="auto"/>
            <w:noWrap/>
            <w:vAlign w:val="bottom"/>
            <w:hideMark/>
          </w:tcPr>
          <w:p w14:paraId="7180C8B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nil"/>
              <w:right w:val="nil"/>
            </w:tcBorders>
            <w:shd w:val="clear" w:color="auto" w:fill="auto"/>
            <w:noWrap/>
            <w:vAlign w:val="bottom"/>
            <w:hideMark/>
          </w:tcPr>
          <w:p w14:paraId="74A211F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8971A3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27D4F3A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2F94922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71B6DFD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0FB7265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1340" w:type="dxa"/>
            <w:tcBorders>
              <w:top w:val="nil"/>
              <w:left w:val="nil"/>
              <w:bottom w:val="nil"/>
              <w:right w:val="nil"/>
            </w:tcBorders>
            <w:shd w:val="clear" w:color="auto" w:fill="auto"/>
            <w:noWrap/>
            <w:vAlign w:val="bottom"/>
            <w:hideMark/>
          </w:tcPr>
          <w:p w14:paraId="004761A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2755</w:t>
            </w:r>
          </w:p>
        </w:tc>
      </w:tr>
      <w:tr w:rsidR="00044023" w:rsidRPr="00044023" w14:paraId="44FF7A25" w14:textId="77777777" w:rsidTr="003400A5">
        <w:trPr>
          <w:trHeight w:val="68"/>
        </w:trPr>
        <w:tc>
          <w:tcPr>
            <w:tcW w:w="960" w:type="dxa"/>
            <w:tcBorders>
              <w:top w:val="nil"/>
              <w:left w:val="nil"/>
              <w:bottom w:val="nil"/>
              <w:right w:val="nil"/>
            </w:tcBorders>
            <w:shd w:val="clear" w:color="auto" w:fill="auto"/>
            <w:noWrap/>
            <w:vAlign w:val="bottom"/>
            <w:hideMark/>
          </w:tcPr>
          <w:p w14:paraId="0351E83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2009</w:t>
            </w:r>
          </w:p>
        </w:tc>
        <w:tc>
          <w:tcPr>
            <w:tcW w:w="724" w:type="dxa"/>
            <w:tcBorders>
              <w:top w:val="nil"/>
              <w:left w:val="single" w:sz="4" w:space="0" w:color="auto"/>
              <w:bottom w:val="nil"/>
              <w:right w:val="nil"/>
            </w:tcBorders>
            <w:shd w:val="clear" w:color="auto" w:fill="auto"/>
            <w:noWrap/>
            <w:vAlign w:val="bottom"/>
            <w:hideMark/>
          </w:tcPr>
          <w:p w14:paraId="7846AE1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nil"/>
              <w:right w:val="nil"/>
            </w:tcBorders>
            <w:shd w:val="clear" w:color="auto" w:fill="auto"/>
            <w:noWrap/>
            <w:vAlign w:val="bottom"/>
            <w:hideMark/>
          </w:tcPr>
          <w:p w14:paraId="4A92A5D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76F0298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767506E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296282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nil"/>
              <w:right w:val="single" w:sz="4" w:space="0" w:color="auto"/>
            </w:tcBorders>
            <w:shd w:val="clear" w:color="auto" w:fill="auto"/>
            <w:noWrap/>
            <w:vAlign w:val="bottom"/>
            <w:hideMark/>
          </w:tcPr>
          <w:p w14:paraId="55902DF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17408B5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1340" w:type="dxa"/>
            <w:tcBorders>
              <w:top w:val="nil"/>
              <w:left w:val="nil"/>
              <w:bottom w:val="nil"/>
              <w:right w:val="nil"/>
            </w:tcBorders>
            <w:shd w:val="clear" w:color="auto" w:fill="auto"/>
            <w:noWrap/>
            <w:vAlign w:val="bottom"/>
            <w:hideMark/>
          </w:tcPr>
          <w:p w14:paraId="222D757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2760</w:t>
            </w:r>
          </w:p>
        </w:tc>
      </w:tr>
      <w:tr w:rsidR="00044023" w:rsidRPr="00044023" w14:paraId="78543D82" w14:textId="77777777" w:rsidTr="00044023">
        <w:trPr>
          <w:trHeight w:val="205"/>
        </w:trPr>
        <w:tc>
          <w:tcPr>
            <w:tcW w:w="960" w:type="dxa"/>
            <w:tcBorders>
              <w:top w:val="nil"/>
              <w:left w:val="nil"/>
              <w:bottom w:val="nil"/>
              <w:right w:val="nil"/>
            </w:tcBorders>
            <w:shd w:val="clear" w:color="auto" w:fill="auto"/>
            <w:noWrap/>
            <w:vAlign w:val="bottom"/>
            <w:hideMark/>
          </w:tcPr>
          <w:p w14:paraId="17FDAE3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2010</w:t>
            </w:r>
          </w:p>
        </w:tc>
        <w:tc>
          <w:tcPr>
            <w:tcW w:w="724" w:type="dxa"/>
            <w:tcBorders>
              <w:top w:val="nil"/>
              <w:left w:val="single" w:sz="4" w:space="0" w:color="auto"/>
              <w:bottom w:val="nil"/>
              <w:right w:val="nil"/>
            </w:tcBorders>
            <w:shd w:val="clear" w:color="auto" w:fill="auto"/>
            <w:noWrap/>
            <w:vAlign w:val="bottom"/>
            <w:hideMark/>
          </w:tcPr>
          <w:p w14:paraId="7A11467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nil"/>
              <w:right w:val="nil"/>
            </w:tcBorders>
            <w:shd w:val="clear" w:color="auto" w:fill="auto"/>
            <w:noWrap/>
            <w:vAlign w:val="bottom"/>
            <w:hideMark/>
          </w:tcPr>
          <w:p w14:paraId="03C98FA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6698277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762F1CD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871E2F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nil"/>
              <w:right w:val="single" w:sz="4" w:space="0" w:color="auto"/>
            </w:tcBorders>
            <w:shd w:val="clear" w:color="auto" w:fill="auto"/>
            <w:noWrap/>
            <w:vAlign w:val="bottom"/>
            <w:hideMark/>
          </w:tcPr>
          <w:p w14:paraId="141D9BA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4EE9927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1340" w:type="dxa"/>
            <w:tcBorders>
              <w:top w:val="nil"/>
              <w:left w:val="nil"/>
              <w:bottom w:val="nil"/>
              <w:right w:val="nil"/>
            </w:tcBorders>
            <w:shd w:val="clear" w:color="auto" w:fill="auto"/>
            <w:noWrap/>
            <w:vAlign w:val="bottom"/>
            <w:hideMark/>
          </w:tcPr>
          <w:p w14:paraId="71A5950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2765</w:t>
            </w:r>
          </w:p>
        </w:tc>
      </w:tr>
      <w:tr w:rsidR="00044023" w:rsidRPr="00044023" w14:paraId="18516383" w14:textId="77777777" w:rsidTr="00044023">
        <w:trPr>
          <w:trHeight w:val="196"/>
        </w:trPr>
        <w:tc>
          <w:tcPr>
            <w:tcW w:w="960" w:type="dxa"/>
            <w:tcBorders>
              <w:top w:val="nil"/>
              <w:left w:val="nil"/>
              <w:bottom w:val="nil"/>
              <w:right w:val="nil"/>
            </w:tcBorders>
            <w:shd w:val="clear" w:color="auto" w:fill="auto"/>
            <w:noWrap/>
            <w:vAlign w:val="bottom"/>
            <w:hideMark/>
          </w:tcPr>
          <w:p w14:paraId="52C8952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2011</w:t>
            </w:r>
          </w:p>
        </w:tc>
        <w:tc>
          <w:tcPr>
            <w:tcW w:w="724" w:type="dxa"/>
            <w:tcBorders>
              <w:top w:val="nil"/>
              <w:left w:val="single" w:sz="4" w:space="0" w:color="auto"/>
              <w:bottom w:val="nil"/>
              <w:right w:val="nil"/>
            </w:tcBorders>
            <w:shd w:val="clear" w:color="auto" w:fill="auto"/>
            <w:noWrap/>
            <w:vAlign w:val="bottom"/>
            <w:hideMark/>
          </w:tcPr>
          <w:p w14:paraId="740E7C1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nil"/>
              <w:right w:val="nil"/>
            </w:tcBorders>
            <w:shd w:val="clear" w:color="auto" w:fill="auto"/>
            <w:noWrap/>
            <w:vAlign w:val="bottom"/>
            <w:hideMark/>
          </w:tcPr>
          <w:p w14:paraId="6ABB5B6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30AEE26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40313F2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3C51511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nil"/>
              <w:right w:val="single" w:sz="4" w:space="0" w:color="auto"/>
            </w:tcBorders>
            <w:shd w:val="clear" w:color="auto" w:fill="auto"/>
            <w:noWrap/>
            <w:vAlign w:val="bottom"/>
            <w:hideMark/>
          </w:tcPr>
          <w:p w14:paraId="16A03AC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1BFC3F0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1340" w:type="dxa"/>
            <w:tcBorders>
              <w:top w:val="nil"/>
              <w:left w:val="nil"/>
              <w:bottom w:val="nil"/>
              <w:right w:val="nil"/>
            </w:tcBorders>
            <w:shd w:val="clear" w:color="auto" w:fill="auto"/>
            <w:noWrap/>
            <w:vAlign w:val="bottom"/>
            <w:hideMark/>
          </w:tcPr>
          <w:p w14:paraId="370A119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2769</w:t>
            </w:r>
          </w:p>
        </w:tc>
      </w:tr>
      <w:tr w:rsidR="00044023" w:rsidRPr="00044023" w14:paraId="17DEFF2B" w14:textId="77777777" w:rsidTr="00044023">
        <w:trPr>
          <w:trHeight w:val="185"/>
        </w:trPr>
        <w:tc>
          <w:tcPr>
            <w:tcW w:w="960" w:type="dxa"/>
            <w:tcBorders>
              <w:top w:val="nil"/>
              <w:left w:val="nil"/>
              <w:bottom w:val="nil"/>
              <w:right w:val="nil"/>
            </w:tcBorders>
            <w:shd w:val="clear" w:color="auto" w:fill="auto"/>
            <w:noWrap/>
            <w:vAlign w:val="bottom"/>
            <w:hideMark/>
          </w:tcPr>
          <w:p w14:paraId="05635F0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2012</w:t>
            </w:r>
          </w:p>
        </w:tc>
        <w:tc>
          <w:tcPr>
            <w:tcW w:w="724" w:type="dxa"/>
            <w:tcBorders>
              <w:top w:val="nil"/>
              <w:left w:val="single" w:sz="4" w:space="0" w:color="auto"/>
              <w:bottom w:val="nil"/>
              <w:right w:val="nil"/>
            </w:tcBorders>
            <w:shd w:val="clear" w:color="auto" w:fill="auto"/>
            <w:noWrap/>
            <w:vAlign w:val="bottom"/>
            <w:hideMark/>
          </w:tcPr>
          <w:p w14:paraId="5041392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nil"/>
              <w:right w:val="nil"/>
            </w:tcBorders>
            <w:shd w:val="clear" w:color="auto" w:fill="auto"/>
            <w:noWrap/>
            <w:vAlign w:val="bottom"/>
            <w:hideMark/>
          </w:tcPr>
          <w:p w14:paraId="7139798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44F9433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2995180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nil"/>
              <w:right w:val="nil"/>
            </w:tcBorders>
            <w:shd w:val="clear" w:color="auto" w:fill="auto"/>
            <w:noWrap/>
            <w:vAlign w:val="bottom"/>
            <w:hideMark/>
          </w:tcPr>
          <w:p w14:paraId="57C6DBF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nil"/>
              <w:right w:val="single" w:sz="4" w:space="0" w:color="auto"/>
            </w:tcBorders>
            <w:shd w:val="clear" w:color="auto" w:fill="auto"/>
            <w:noWrap/>
            <w:vAlign w:val="bottom"/>
            <w:hideMark/>
          </w:tcPr>
          <w:p w14:paraId="02F096E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62D8DF8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1340" w:type="dxa"/>
            <w:tcBorders>
              <w:top w:val="nil"/>
              <w:left w:val="nil"/>
              <w:bottom w:val="nil"/>
              <w:right w:val="nil"/>
            </w:tcBorders>
            <w:shd w:val="clear" w:color="auto" w:fill="auto"/>
            <w:noWrap/>
            <w:vAlign w:val="bottom"/>
            <w:hideMark/>
          </w:tcPr>
          <w:p w14:paraId="3504E55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2773</w:t>
            </w:r>
          </w:p>
        </w:tc>
      </w:tr>
      <w:tr w:rsidR="00044023" w:rsidRPr="00044023" w14:paraId="1985D497" w14:textId="77777777" w:rsidTr="00044023">
        <w:trPr>
          <w:trHeight w:val="76"/>
        </w:trPr>
        <w:tc>
          <w:tcPr>
            <w:tcW w:w="960" w:type="dxa"/>
            <w:tcBorders>
              <w:top w:val="nil"/>
              <w:left w:val="nil"/>
              <w:bottom w:val="single" w:sz="4" w:space="0" w:color="auto"/>
              <w:right w:val="nil"/>
            </w:tcBorders>
            <w:shd w:val="clear" w:color="auto" w:fill="auto"/>
            <w:noWrap/>
            <w:vAlign w:val="bottom"/>
            <w:hideMark/>
          </w:tcPr>
          <w:p w14:paraId="60EFCFD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2013</w:t>
            </w:r>
          </w:p>
        </w:tc>
        <w:tc>
          <w:tcPr>
            <w:tcW w:w="724" w:type="dxa"/>
            <w:tcBorders>
              <w:top w:val="nil"/>
              <w:left w:val="single" w:sz="4" w:space="0" w:color="auto"/>
              <w:bottom w:val="single" w:sz="4" w:space="0" w:color="auto"/>
              <w:right w:val="nil"/>
            </w:tcBorders>
            <w:shd w:val="clear" w:color="auto" w:fill="auto"/>
            <w:noWrap/>
            <w:vAlign w:val="bottom"/>
            <w:hideMark/>
          </w:tcPr>
          <w:p w14:paraId="6B044B6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single" w:sz="4" w:space="0" w:color="auto"/>
              <w:right w:val="nil"/>
            </w:tcBorders>
            <w:shd w:val="clear" w:color="auto" w:fill="auto"/>
            <w:noWrap/>
            <w:vAlign w:val="bottom"/>
            <w:hideMark/>
          </w:tcPr>
          <w:p w14:paraId="1ECEB83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single" w:sz="4" w:space="0" w:color="auto"/>
              <w:right w:val="nil"/>
            </w:tcBorders>
            <w:shd w:val="clear" w:color="auto" w:fill="auto"/>
            <w:noWrap/>
            <w:vAlign w:val="bottom"/>
            <w:hideMark/>
          </w:tcPr>
          <w:p w14:paraId="7B7EF0F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single" w:sz="4" w:space="0" w:color="auto"/>
              <w:right w:val="nil"/>
            </w:tcBorders>
            <w:shd w:val="clear" w:color="auto" w:fill="auto"/>
            <w:noWrap/>
            <w:vAlign w:val="bottom"/>
            <w:hideMark/>
          </w:tcPr>
          <w:p w14:paraId="4FEF611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single" w:sz="4" w:space="0" w:color="auto"/>
              <w:right w:val="nil"/>
            </w:tcBorders>
            <w:shd w:val="clear" w:color="auto" w:fill="auto"/>
            <w:noWrap/>
            <w:vAlign w:val="bottom"/>
            <w:hideMark/>
          </w:tcPr>
          <w:p w14:paraId="2D6D7BA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single" w:sz="4" w:space="0" w:color="auto"/>
              <w:right w:val="single" w:sz="4" w:space="0" w:color="auto"/>
            </w:tcBorders>
            <w:shd w:val="clear" w:color="auto" w:fill="auto"/>
            <w:noWrap/>
            <w:vAlign w:val="bottom"/>
            <w:hideMark/>
          </w:tcPr>
          <w:p w14:paraId="5C2DF25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single" w:sz="4" w:space="0" w:color="auto"/>
              <w:right w:val="nil"/>
            </w:tcBorders>
            <w:shd w:val="clear" w:color="auto" w:fill="auto"/>
            <w:noWrap/>
            <w:vAlign w:val="bottom"/>
            <w:hideMark/>
          </w:tcPr>
          <w:p w14:paraId="69B6B55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1340" w:type="dxa"/>
            <w:tcBorders>
              <w:top w:val="nil"/>
              <w:left w:val="nil"/>
              <w:bottom w:val="single" w:sz="4" w:space="0" w:color="auto"/>
              <w:right w:val="nil"/>
            </w:tcBorders>
            <w:shd w:val="clear" w:color="auto" w:fill="auto"/>
            <w:noWrap/>
            <w:vAlign w:val="bottom"/>
            <w:hideMark/>
          </w:tcPr>
          <w:p w14:paraId="2156C9BB" w14:textId="77777777" w:rsidR="00044023" w:rsidRPr="00044023" w:rsidRDefault="00044023" w:rsidP="00044023">
            <w:pPr>
              <w:spacing w:after="0" w:line="240" w:lineRule="auto"/>
              <w:jc w:val="right"/>
              <w:rPr>
                <w:rFonts w:ascii="Calibri" w:eastAsia="Times New Roman" w:hAnsi="Calibri" w:cs="Times New Roman"/>
                <w:b/>
                <w:bCs/>
                <w:color w:val="000000"/>
                <w:sz w:val="20"/>
                <w:u w:val="single"/>
                <w:lang w:eastAsia="en-GB"/>
              </w:rPr>
            </w:pPr>
            <w:r w:rsidRPr="00044023">
              <w:rPr>
                <w:rFonts w:ascii="Calibri" w:eastAsia="Times New Roman" w:hAnsi="Calibri" w:cs="Times New Roman"/>
                <w:b/>
                <w:bCs/>
                <w:color w:val="000000"/>
                <w:sz w:val="20"/>
                <w:u w:val="single"/>
                <w:lang w:eastAsia="en-GB"/>
              </w:rPr>
              <w:t>2776</w:t>
            </w:r>
          </w:p>
        </w:tc>
      </w:tr>
      <w:tr w:rsidR="00044023" w:rsidRPr="00044023" w14:paraId="697164D8" w14:textId="77777777" w:rsidTr="00044023">
        <w:trPr>
          <w:trHeight w:val="288"/>
        </w:trPr>
        <w:tc>
          <w:tcPr>
            <w:tcW w:w="960" w:type="dxa"/>
            <w:tcBorders>
              <w:top w:val="nil"/>
              <w:left w:val="nil"/>
              <w:bottom w:val="nil"/>
              <w:right w:val="nil"/>
            </w:tcBorders>
            <w:shd w:val="clear" w:color="auto" w:fill="auto"/>
            <w:noWrap/>
            <w:vAlign w:val="bottom"/>
            <w:hideMark/>
          </w:tcPr>
          <w:p w14:paraId="3E396D89" w14:textId="77777777" w:rsidR="00044023" w:rsidRPr="00044023" w:rsidRDefault="00044023" w:rsidP="00044023">
            <w:pPr>
              <w:spacing w:after="0" w:line="240" w:lineRule="auto"/>
              <w:jc w:val="right"/>
              <w:rPr>
                <w:rFonts w:ascii="Calibri" w:eastAsia="Times New Roman" w:hAnsi="Calibri" w:cs="Times New Roman"/>
                <w:b/>
                <w:bCs/>
                <w:color w:val="000000"/>
                <w:sz w:val="20"/>
                <w:lang w:eastAsia="en-GB"/>
              </w:rPr>
            </w:pPr>
            <w:r w:rsidRPr="00044023">
              <w:rPr>
                <w:rFonts w:ascii="Calibri" w:eastAsia="Times New Roman" w:hAnsi="Calibri" w:cs="Times New Roman"/>
                <w:b/>
                <w:bCs/>
                <w:color w:val="000000"/>
                <w:sz w:val="20"/>
                <w:lang w:eastAsia="en-GB"/>
              </w:rPr>
              <w:t>Total</w:t>
            </w:r>
          </w:p>
        </w:tc>
        <w:tc>
          <w:tcPr>
            <w:tcW w:w="724" w:type="dxa"/>
            <w:tcBorders>
              <w:top w:val="nil"/>
              <w:left w:val="single" w:sz="4" w:space="0" w:color="auto"/>
              <w:bottom w:val="nil"/>
              <w:right w:val="nil"/>
            </w:tcBorders>
            <w:shd w:val="clear" w:color="auto" w:fill="auto"/>
            <w:noWrap/>
            <w:vAlign w:val="bottom"/>
            <w:hideMark/>
          </w:tcPr>
          <w:p w14:paraId="3C2C01F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816</w:t>
            </w:r>
          </w:p>
        </w:tc>
        <w:tc>
          <w:tcPr>
            <w:tcW w:w="724" w:type="dxa"/>
            <w:tcBorders>
              <w:top w:val="nil"/>
              <w:left w:val="nil"/>
              <w:bottom w:val="nil"/>
              <w:right w:val="nil"/>
            </w:tcBorders>
            <w:shd w:val="clear" w:color="auto" w:fill="auto"/>
            <w:noWrap/>
            <w:vAlign w:val="bottom"/>
            <w:hideMark/>
          </w:tcPr>
          <w:p w14:paraId="7F53B7A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654</w:t>
            </w:r>
          </w:p>
        </w:tc>
        <w:tc>
          <w:tcPr>
            <w:tcW w:w="723" w:type="dxa"/>
            <w:tcBorders>
              <w:top w:val="nil"/>
              <w:left w:val="nil"/>
              <w:bottom w:val="nil"/>
              <w:right w:val="nil"/>
            </w:tcBorders>
            <w:shd w:val="clear" w:color="auto" w:fill="auto"/>
            <w:noWrap/>
            <w:vAlign w:val="bottom"/>
            <w:hideMark/>
          </w:tcPr>
          <w:p w14:paraId="49BA06A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388</w:t>
            </w:r>
          </w:p>
        </w:tc>
        <w:tc>
          <w:tcPr>
            <w:tcW w:w="723" w:type="dxa"/>
            <w:tcBorders>
              <w:top w:val="nil"/>
              <w:left w:val="nil"/>
              <w:bottom w:val="nil"/>
              <w:right w:val="nil"/>
            </w:tcBorders>
            <w:shd w:val="clear" w:color="auto" w:fill="auto"/>
            <w:noWrap/>
            <w:vAlign w:val="bottom"/>
            <w:hideMark/>
          </w:tcPr>
          <w:p w14:paraId="009DB49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313</w:t>
            </w:r>
          </w:p>
        </w:tc>
        <w:tc>
          <w:tcPr>
            <w:tcW w:w="723" w:type="dxa"/>
            <w:tcBorders>
              <w:top w:val="nil"/>
              <w:left w:val="nil"/>
              <w:bottom w:val="nil"/>
              <w:right w:val="nil"/>
            </w:tcBorders>
            <w:shd w:val="clear" w:color="auto" w:fill="auto"/>
            <w:noWrap/>
            <w:vAlign w:val="bottom"/>
            <w:hideMark/>
          </w:tcPr>
          <w:p w14:paraId="3D25FE1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208</w:t>
            </w:r>
          </w:p>
        </w:tc>
        <w:tc>
          <w:tcPr>
            <w:tcW w:w="723" w:type="dxa"/>
            <w:tcBorders>
              <w:top w:val="nil"/>
              <w:left w:val="nil"/>
              <w:bottom w:val="nil"/>
              <w:right w:val="single" w:sz="4" w:space="0" w:color="auto"/>
            </w:tcBorders>
            <w:shd w:val="clear" w:color="auto" w:fill="auto"/>
            <w:noWrap/>
            <w:vAlign w:val="bottom"/>
            <w:hideMark/>
          </w:tcPr>
          <w:p w14:paraId="75918E2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395</w:t>
            </w:r>
          </w:p>
        </w:tc>
        <w:tc>
          <w:tcPr>
            <w:tcW w:w="680" w:type="dxa"/>
            <w:tcBorders>
              <w:top w:val="nil"/>
              <w:left w:val="nil"/>
              <w:bottom w:val="nil"/>
              <w:right w:val="nil"/>
            </w:tcBorders>
            <w:shd w:val="clear" w:color="auto" w:fill="auto"/>
            <w:noWrap/>
            <w:vAlign w:val="bottom"/>
            <w:hideMark/>
          </w:tcPr>
          <w:p w14:paraId="6C072C48" w14:textId="77777777" w:rsidR="00044023" w:rsidRPr="00044023" w:rsidRDefault="00044023" w:rsidP="00044023">
            <w:pPr>
              <w:spacing w:after="0" w:line="240" w:lineRule="auto"/>
              <w:jc w:val="right"/>
              <w:rPr>
                <w:rFonts w:ascii="Calibri" w:eastAsia="Times New Roman" w:hAnsi="Calibri" w:cs="Times New Roman"/>
                <w:b/>
                <w:bCs/>
                <w:color w:val="000000"/>
                <w:sz w:val="20"/>
                <w:u w:val="single"/>
                <w:lang w:eastAsia="en-GB"/>
              </w:rPr>
            </w:pPr>
            <w:r w:rsidRPr="00044023">
              <w:rPr>
                <w:rFonts w:ascii="Calibri" w:eastAsia="Times New Roman" w:hAnsi="Calibri" w:cs="Times New Roman"/>
                <w:b/>
                <w:bCs/>
                <w:color w:val="000000"/>
                <w:sz w:val="20"/>
                <w:u w:val="single"/>
                <w:lang w:eastAsia="en-GB"/>
              </w:rPr>
              <w:t>2776</w:t>
            </w:r>
          </w:p>
        </w:tc>
        <w:tc>
          <w:tcPr>
            <w:tcW w:w="1340" w:type="dxa"/>
            <w:tcBorders>
              <w:top w:val="nil"/>
              <w:left w:val="nil"/>
              <w:bottom w:val="nil"/>
              <w:right w:val="nil"/>
            </w:tcBorders>
            <w:shd w:val="clear" w:color="auto" w:fill="auto"/>
            <w:noWrap/>
            <w:vAlign w:val="bottom"/>
            <w:hideMark/>
          </w:tcPr>
          <w:p w14:paraId="6A3AB652" w14:textId="77777777" w:rsidR="00044023" w:rsidRPr="00044023" w:rsidRDefault="00044023" w:rsidP="003400A5">
            <w:pPr>
              <w:keepNext/>
              <w:spacing w:after="0" w:line="240" w:lineRule="auto"/>
              <w:jc w:val="right"/>
              <w:rPr>
                <w:rFonts w:ascii="Calibri" w:eastAsia="Times New Roman" w:hAnsi="Calibri" w:cs="Times New Roman"/>
                <w:b/>
                <w:bCs/>
                <w:color w:val="000000"/>
                <w:sz w:val="20"/>
                <w:u w:val="single"/>
                <w:lang w:eastAsia="en-GB"/>
              </w:rPr>
            </w:pPr>
          </w:p>
        </w:tc>
      </w:tr>
    </w:tbl>
    <w:p w14:paraId="78ADC5DE" w14:textId="740CAB62" w:rsidR="003400A5" w:rsidRDefault="003400A5">
      <w:pPr>
        <w:pStyle w:val="Caption"/>
      </w:pPr>
      <w:r>
        <w:t xml:space="preserve">Table </w:t>
      </w:r>
      <w:fldSimple w:instr=" SEQ Table \* ARABIC ">
        <w:r>
          <w:rPr>
            <w:noProof/>
          </w:rPr>
          <w:t>1</w:t>
        </w:r>
      </w:fldSimple>
      <w:r>
        <w:t xml:space="preserve"> Model estimates of numbers of Troubles-attributable deaths in males in Northern Ireland by year and age group</w:t>
      </w:r>
    </w:p>
    <w:p w14:paraId="7B8E3914" w14:textId="21F447E5" w:rsidR="00044023" w:rsidRDefault="00044023">
      <w:r>
        <w:br w:type="page"/>
      </w:r>
    </w:p>
    <w:p w14:paraId="18A4B86F" w14:textId="624C67B6" w:rsidR="00F1537E" w:rsidRPr="00C94CE9" w:rsidRDefault="00F1537E" w:rsidP="000B02C5">
      <w:pPr>
        <w:pStyle w:val="Heading2"/>
        <w:spacing w:line="480" w:lineRule="auto"/>
        <w:rPr>
          <w:color w:val="auto"/>
        </w:rPr>
      </w:pPr>
      <w:r w:rsidRPr="00C94CE9">
        <w:rPr>
          <w:color w:val="auto"/>
        </w:rPr>
        <w:lastRenderedPageBreak/>
        <w:t xml:space="preserve">Discussion </w:t>
      </w:r>
    </w:p>
    <w:p w14:paraId="6A8BB0EF" w14:textId="56175F17" w:rsidR="001B7B4E" w:rsidRPr="000B02C5" w:rsidRDefault="001B7B4E" w:rsidP="000B02C5">
      <w:pPr>
        <w:pStyle w:val="Heading3"/>
        <w:spacing w:line="480" w:lineRule="auto"/>
        <w:rPr>
          <w:color w:val="auto"/>
        </w:rPr>
      </w:pPr>
      <w:r w:rsidRPr="000B02C5">
        <w:rPr>
          <w:color w:val="auto"/>
        </w:rPr>
        <w:t>Comparison of mortality estimates</w:t>
      </w:r>
    </w:p>
    <w:p w14:paraId="5C036B83" w14:textId="65697144" w:rsidR="006E3FB2" w:rsidRPr="000B02C5" w:rsidRDefault="00F119C2" w:rsidP="000B02C5">
      <w:pPr>
        <w:spacing w:line="480" w:lineRule="auto"/>
      </w:pPr>
      <w:r w:rsidRPr="000B02C5">
        <w:fldChar w:fldCharType="begin" w:fldLock="1"/>
      </w:r>
      <w:r w:rsidRPr="000B02C5">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"(Smyth, 1998)" }, "properties" : { "noteIndex" : 0 }, "schema" : "https://github.com/citation-style-language/schema/raw/master/csl-citation.json" }</w:instrText>
      </w:r>
      <w:r w:rsidRPr="000B02C5">
        <w:fldChar w:fldCharType="separate"/>
      </w:r>
      <w:r w:rsidRPr="000B02C5">
        <w:rPr>
          <w:noProof/>
        </w:rPr>
        <w:t>(Smyth, 1998)</w:t>
      </w:r>
      <w:r w:rsidRPr="000B02C5">
        <w:fldChar w:fldCharType="end"/>
      </w:r>
      <w:r w:rsidRPr="000B02C5">
        <w:t xml:space="preserve"> estimated a total of 3598 deaths were attributed killings in the conflict between 1969 and 1998</w:t>
      </w:r>
      <w:r w:rsidR="000D3EC9" w:rsidRPr="000B02C5">
        <w:t>; this compares with 26</w:t>
      </w:r>
      <w:r w:rsidR="006E3FB2" w:rsidRPr="000B02C5">
        <w:t>61</w:t>
      </w:r>
      <w:r w:rsidR="000D3EC9" w:rsidRPr="000B02C5">
        <w:t xml:space="preserve"> estimated in our model between 1969 and 1998 in younger adult males in Northern Ireland</w:t>
      </w:r>
      <w:r w:rsidR="0041727A" w:rsidRPr="000B02C5">
        <w:t xml:space="preserve"> only</w:t>
      </w:r>
      <w:r w:rsidRPr="000B02C5">
        <w:t xml:space="preserve">. </w:t>
      </w:r>
      <w:r w:rsidR="008D1A01" w:rsidRPr="000B02C5">
        <w:t xml:space="preserve">Other total mortality estimates for the Troubles tend to be similar, with </w:t>
      </w:r>
      <w:r w:rsidR="008D1A01" w:rsidRPr="000B02C5">
        <w:fldChar w:fldCharType="begin" w:fldLock="1"/>
      </w:r>
      <w:r w:rsidR="008D1A01" w:rsidRPr="000B02C5">
        <w:instrText>ADDIN CSL_CITATION { "citationItems" : [ { "id" : "ITEM-1", "itemData" : { "DOI" : "10.1080/13527250802284859", "ISSN" : "1352-7258", "PMID" : "2191", "abstract" : "The paramilitary ceasefires in 1994 and the ensuing peace negotiations brought to a close some three decades of ethno-nationalist violence in Northern Ireland. The conflict, colloquially termed the Troubles, cost almost 3,700 lives, and bequeathed both a tangible and intangible heritage of division and hurt. This paper considers the commodification of physical conflict 'heritage' such as military installations, memorials and street murals through an examination of various tourism initiatives. Such initiatives have been employed by a number of agents ranging from local councils and tourist boards to small community groups and ex-prisoner organisations. While 'official' agencies recognise the economic potential of this form of heritage, community-based groups often view the sites and symbols of the conflict as vehicles through which to propagate political perspectives. Those sold by the latter, in particular, are often supported by government bodies that fund such forms of tourism under the auspices of 'conflict transformation', a strategy that is aimed at transforming the nature of the conflict through fostering self-understanding within disputant communities. I participated in a number of these tours over the course of six months in 2005/2006.", "author" : [ { "dropping-particle" : "", "family" : "McDowell", "given" : "Sara", "non-dropping-particle" : "", "parse-names" : false, "suffix" : "" } ], "container-title" : "International Journal of Heritage Studies", "id" : "ITEM-1", "issue" : "5", "issued" : { "date-parts" : [ [ "2008", "9" ] ] }, "note" : "Int J Herit Stud Int J Herit Stud\nISI:000207690400002; V13Tz; Times Cited:19; Cited References Count:16", "page" : "405-421", "title" : "Selling Conflict Heritage through Tourism in Peacetime Northern Ireland: Transforming Conflict or Exacerbating Difference?", "type" : "article-journal", "volume" : "14" }, "uris" : [ "http://www.mendeley.com/documents/?uuid=ea84e679-4591-438b-bff2-688ae73f54ec" ] } ], "mendeley" : { "formattedCitation" : "(McDowell, 2008)", "plainTextFormattedCitation" : "(McDowell, 2008)", "previouslyFormattedCitation" : "(McDowell, 2008)" }, "properties" : { "noteIndex" : 0 }, "schema" : "https://github.com/citation-style-language/schema/raw/master/csl-citation.json" }</w:instrText>
      </w:r>
      <w:r w:rsidR="008D1A01" w:rsidRPr="000B02C5">
        <w:fldChar w:fldCharType="separate"/>
      </w:r>
      <w:r w:rsidR="008D1A01" w:rsidRPr="000B02C5">
        <w:rPr>
          <w:noProof/>
        </w:rPr>
        <w:t>(McDowell, 2008)</w:t>
      </w:r>
      <w:r w:rsidR="008D1A01" w:rsidRPr="000B02C5">
        <w:fldChar w:fldCharType="end"/>
      </w:r>
      <w:r w:rsidR="008D1A01" w:rsidRPr="000B02C5">
        <w:t xml:space="preserve"> estimating slightly under 3700 deaths, and </w:t>
      </w:r>
      <w:r w:rsidR="008D1A01" w:rsidRPr="000B02C5">
        <w:fldChar w:fldCharType="begin" w:fldLock="1"/>
      </w:r>
      <w:r w:rsidR="008D1A01" w:rsidRPr="000B02C5">
        <w:instrText>ADDIN CSL_CITATION { "citationItems" : [ { "id" : "ITEM-1", "itemData" : { "DOI" : "10.1192/apt.7.1.73", "ISSN" : "13555146", "author" : [ { "dropping-particle" : "", "family" : "Curran", "given" : "P. S.", "non-dropping-particle" : "", "parse-names" : false, "suffix" : "" } ], "container-title" : "Advances in Psychiatric Treatment", "id" : "ITEM-1", "issue" : "1", "issued" : { "date-parts" : [ [ "2001", "1", "1" ] ] }, "page" : "73-80", "title" : "Psychiatric implications of chronic civilian strife or war: Northern Ireland", "type" : "article-journal", "volume" : "7" }, "uris" : [ "http://www.mendeley.com/documents/?uuid=ea1729fb-3605-441a-a7be-62924814f2a1" ] } ], "mendeley" : { "formattedCitation" : "(Curran, 2001)", "plainTextFormattedCitation" : "(Curran, 2001)", "previouslyFormattedCitation" : "(Curran, 2001)" }, "properties" : { "noteIndex" : 0 }, "schema" : "https://github.com/citation-style-language/schema/raw/master/csl-citation.json" }</w:instrText>
      </w:r>
      <w:r w:rsidR="008D1A01" w:rsidRPr="000B02C5">
        <w:fldChar w:fldCharType="separate"/>
      </w:r>
      <w:r w:rsidR="008D1A01" w:rsidRPr="000B02C5">
        <w:rPr>
          <w:noProof/>
        </w:rPr>
        <w:t>(Curran, 2001)</w:t>
      </w:r>
      <w:r w:rsidR="008D1A01" w:rsidRPr="000B02C5">
        <w:fldChar w:fldCharType="end"/>
      </w:r>
      <w:r w:rsidR="008D1A01" w:rsidRPr="000B02C5">
        <w:t xml:space="preserve"> estimating 3740 additional deaths between 1969 and 1999 (compared with our estimate of 2675 between 1972 and 1999).</w:t>
      </w:r>
      <w:r w:rsidR="00146D0F">
        <w:t xml:space="preserve"> </w:t>
      </w:r>
      <w:r w:rsidR="000D3EC9" w:rsidRPr="000B02C5">
        <w:fldChar w:fldCharType="begin" w:fldLock="1"/>
      </w:r>
      <w:r w:rsidR="000D3EC9" w:rsidRPr="000B02C5">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"(Smyth, 1998)" }, "properties" : { "noteIndex" : 0 }, "schema" : "https://github.com/citation-style-language/schema/raw/master/csl-citation.json" }</w:instrText>
      </w:r>
      <w:r w:rsidR="000D3EC9" w:rsidRPr="000B02C5">
        <w:fldChar w:fldCharType="separate"/>
      </w:r>
      <w:r w:rsidR="000D3EC9" w:rsidRPr="000B02C5">
        <w:rPr>
          <w:noProof/>
        </w:rPr>
        <w:t>(Smyth, 1998)</w:t>
      </w:r>
      <w:r w:rsidR="000D3EC9" w:rsidRPr="000B02C5">
        <w:fldChar w:fldCharType="end"/>
      </w:r>
      <w:r w:rsidR="000D3EC9" w:rsidRPr="000B02C5">
        <w:t xml:space="preserve"> </w:t>
      </w:r>
      <w:r w:rsidR="00146D0F">
        <w:t xml:space="preserve">also </w:t>
      </w:r>
      <w:r w:rsidR="000D3EC9" w:rsidRPr="000B02C5">
        <w:t xml:space="preserve">found that a disproportionate share of deaths occurred in young adults, with a quarter occurring in people aged 18-23 years, and attributable deaths then falling at older ages. </w:t>
      </w:r>
      <w:r w:rsidR="009140E4">
        <w:t>We found</w:t>
      </w:r>
      <w:r w:rsidR="000D3EC9" w:rsidRPr="000B02C5">
        <w:t xml:space="preserve"> a qualitatively similar pattern of mortality burden by age, though </w:t>
      </w:r>
      <w:r w:rsidR="009140E4">
        <w:t xml:space="preserve">with </w:t>
      </w:r>
      <w:r w:rsidR="000D3EC9" w:rsidRPr="000B02C5">
        <w:t xml:space="preserve">an even greater share in 18-23 age group, with 1053 deaths out of 2776, or 38% of all deaths, estimated. </w:t>
      </w:r>
    </w:p>
    <w:p w14:paraId="628C4639" w14:textId="065E32E1" w:rsidR="00045603" w:rsidRPr="000B02C5" w:rsidRDefault="006E3FB2" w:rsidP="000B02C5">
      <w:pPr>
        <w:spacing w:line="480" w:lineRule="auto"/>
      </w:pPr>
      <w:r w:rsidRPr="000B02C5">
        <w:t>Our model</w:t>
      </w:r>
      <w:r w:rsidR="009140E4">
        <w:t>,</w:t>
      </w:r>
      <w:r w:rsidRPr="000B02C5">
        <w:t xml:space="preserve"> based only on all-cause mortality data, </w:t>
      </w:r>
      <w:r w:rsidR="00045603" w:rsidRPr="000B02C5">
        <w:t xml:space="preserve">estimates around three quarters of the deaths that actually occurred, suggesting that the </w:t>
      </w:r>
      <w:r w:rsidR="009140E4">
        <w:t xml:space="preserve">key </w:t>
      </w:r>
      <w:r w:rsidR="00045603" w:rsidRPr="000B02C5">
        <w:t xml:space="preserve">modelling assumption - an initiation event leading to the sudden onset of a conflict whose intensity only slowly decays over many years – captures something of the essence of what occurred in Northern Ireland. </w:t>
      </w:r>
    </w:p>
    <w:p w14:paraId="3B8E2F0F" w14:textId="594CFE6A" w:rsidR="006E3FB2" w:rsidRPr="000B02C5" w:rsidRDefault="00045603" w:rsidP="000B02C5">
      <w:pPr>
        <w:spacing w:line="480" w:lineRule="auto"/>
      </w:pPr>
      <w:r w:rsidRPr="000B02C5">
        <w:t xml:space="preserve">There may be two reasons why our estimates are below </w:t>
      </w:r>
      <w:r w:rsidR="00563F5E" w:rsidRPr="000B02C5">
        <w:t>death counts directly attributed to political violence</w:t>
      </w:r>
      <w:r w:rsidRPr="000B02C5">
        <w:t xml:space="preserve">, in addition to our use of a more restrictive demographic group. Firstly, we did not explicitly model to include the particularly high spike of deaths in 1973. Secondly, adult males </w:t>
      </w:r>
      <w:r w:rsidR="001E1856" w:rsidRPr="000B02C5">
        <w:t>experience a</w:t>
      </w:r>
      <w:r w:rsidR="0041727A" w:rsidRPr="000B02C5">
        <w:t xml:space="preserve">n </w:t>
      </w:r>
      <w:r w:rsidR="001E1856" w:rsidRPr="000B02C5">
        <w:t>increase mortality once they reach adulthood, and young adult male mortality displacement effect</w:t>
      </w:r>
      <w:r w:rsidR="0041727A" w:rsidRPr="000B02C5">
        <w:t>s</w:t>
      </w:r>
      <w:r w:rsidR="001E1856" w:rsidRPr="000B02C5">
        <w:t xml:space="preserve"> </w:t>
      </w:r>
      <w:r w:rsidR="0041727A" w:rsidRPr="000B02C5">
        <w:t xml:space="preserve">may </w:t>
      </w:r>
      <w:r w:rsidR="001E1856" w:rsidRPr="000B02C5">
        <w:t>occurred in Northern Ireland after the Troubles</w:t>
      </w:r>
      <w:r w:rsidR="0041727A" w:rsidRPr="000B02C5">
        <w:t xml:space="preserve"> began</w:t>
      </w:r>
      <w:r w:rsidR="001E1856" w:rsidRPr="000B02C5">
        <w:t>. For example</w:t>
      </w:r>
      <w:r w:rsidR="005223FE" w:rsidRPr="000B02C5">
        <w:t xml:space="preserve"> rates of homicide risk and suicide risk tend to be inversely correlated, and that both disproportionately affect younger adult males. </w:t>
      </w:r>
      <w:r w:rsidR="005223FE" w:rsidRPr="000B02C5">
        <w:fldChar w:fldCharType="begin" w:fldLock="1"/>
      </w:r>
      <w:r w:rsidR="00C308A5" w:rsidRPr="000B02C5">
        <w:instrText>ADDIN CSL_CITATION { "citationItems" : [ { "id" : "ITEM-1", "itemData" : { "DOI" : "10.2307/2088294", "ISBN" : "0415278309", "ISSN" : "0033-2747", "PMID" : "748116", "abstract" : "There would be no need for sociology if everyone understood the social frameworks within which we operate. That we do have a connection to the larger picture is largely thanks to the pioneering thinker \u00c9mile Durkheim. He recognized that, if anything can explain how we as individuals relate to society, then it is suicide: Why does it happen? What goes wrong? Why is it more common in some places than others? In seeking answers to these questions, Durkheim wrote a work that has fascinated, challenged and informed its readers for over a hundred years. Far-sighted and trail-blazing in its conclusions, Suicide makes an immense contribution to our understanding to what must surely be one of the least understandable of acts. A brilliant study, it is regarded as one of the most important books Durkheim ever wrote.", "author" : [ { "dropping-particle" : "", "family" : "Durkheim", "given" : "Emile", "non-dropping-particle" : "", "parse-names" : false, "suffix" : "" } ], "container-title" : "New York Free Press", "id" : "ITEM-1", "issued" : { "date-parts" : [ [ "1951" ] ] }, "page" : "405", "title" : "Suicide, a study in sociology", "type" : "article-journal", "volume" : "3" }, "uris" : [ "http://www.mendeley.com/documents/?uuid=251925fe-70a1-4de5-a50c-fcc8f50092d7" ] }, { "id" : "ITEM-2", "itemData" : { "DOI" : "10.1192/apt.7.1.73", "ISSN" : "13555146", "author" : [ { "dropping-particle" : "", "family" : "Curran", "given" : "P. S.", "non-dropping-particle" : "", "parse-names" : false, "suffix" : "" } ], "container-title" : "Advances in Psychiatric Treatment", "id" : "ITEM-2", "issue" : "1", "issued" : { "date-parts" : [ [ "2001", "1", "1" ] ] }, "page" : "73-80", "title" : "Psychiatric implications of chronic civilian strife or war: Northern Ireland", "type" : "article-journal", "volume" : "7" }, "uris" : [ "http://www.mendeley.com/documents/?uuid=ea1729fb-3605-441a-a7be-62924814f2a1" ] }, { "id" : "ITEM-3", "itemData" : { "PMID" : "2963", "abstract" : "McCann and Stewin (1990) reported that the suicide rate (per 100,000 population) in the USA was positively associated over time with an index of social and political threat. Data on the number of deaths resulting from the civil unrest (The Troubles) in Northern Ireland from 1969 on are available from the CAIN Web Service (cain.ulst.ac.uk). The present analysis examined the association between the suicide rate in Northern Ireland an the number of deaths from civil unrest for the period 1965-1997 using, suicide rates from the World Health Organization (www.who.int). Suicide rates increased during the period (Pearson r =.66, two-tailed p &lt; .01), while deaths from civil unrest peaked in 1972 and did not change linearly over the period (r = -.20). The suicide rate was associated with the number of deaths (r = -.51, p &lt; .01) and in multiple regressions with deaths alone and with deaths and year taken into account (bs = -.009 and -.007, ps &lt;.003 and .003, respectively). Thus, suicide rates were higher when deaths from the civil unrest were lower.", "author" : [ { "dropping-particle" : "", "family" : "Lester", "given" : "D", "non-dropping-particle" : "", "parse-names" : false, "suffix" : "" } ], "container-title" : "Psychological Reports", "id" : "ITEM-3", "issue" : "3", "issued" : { "date-parts" : [ [ "2002" ] ] }, "note" : "Psychol Rep Psychol Rep\nISI:000176332000002; 564UM; Times Cited:2; Cited References Count:1", "page" : "722", "title" : "The 'troubles' in Northern Ireland and suicide", "type" : "article-journal", "volume" : "90" }, "uris" : [ "http://www.mendeley.com/documents/?uuid=11ca90c3-f826-4466-b3e5-a2a385acf80b" ] } ], "mendeley" : { "formattedCitation" : "(Curran, 2001; Durkheim, 1951; Lester, 2002)", "plainTextFormattedCitation" : "(Curran, 2001; Durkheim, 1951; Lester, 2002)", "previouslyFormattedCitation" : "(Curran, 2001; Durkheim, 1951; Lester, 2002)" }, "properties" : { "noteIndex" : 0 }, "schema" : "https://github.com/citation-style-language/schema/raw/master/csl-citation.json" }</w:instrText>
      </w:r>
      <w:r w:rsidR="005223FE" w:rsidRPr="000B02C5">
        <w:fldChar w:fldCharType="separate"/>
      </w:r>
      <w:r w:rsidR="005223FE" w:rsidRPr="000B02C5">
        <w:rPr>
          <w:noProof/>
        </w:rPr>
        <w:t>(Curran, 2001; Durkheim, 1951; Lester, 2002)</w:t>
      </w:r>
      <w:r w:rsidR="005223FE" w:rsidRPr="000B02C5">
        <w:fldChar w:fldCharType="end"/>
      </w:r>
      <w:r w:rsidR="005223FE" w:rsidRPr="000B02C5">
        <w:t xml:space="preserve"> </w:t>
      </w:r>
      <w:r w:rsidR="0041727A" w:rsidRPr="000B02C5">
        <w:t xml:space="preserve">It </w:t>
      </w:r>
      <w:r w:rsidR="005223FE" w:rsidRPr="000B02C5">
        <w:t>may be that the high rates of ‘bonding capital’ within Northern Irish communities, though responsible for the maintenance of sectarian conflict, w</w:t>
      </w:r>
      <w:r w:rsidR="002D4A9D" w:rsidRPr="000B02C5">
        <w:t>ere</w:t>
      </w:r>
      <w:r w:rsidR="005223FE" w:rsidRPr="000B02C5">
        <w:t xml:space="preserve"> also protective against some other forms of mortality risk, such as alcohol and drug-related deaths, that otherwise would have claimed more young adult males. </w:t>
      </w:r>
      <w:r w:rsidR="0041727A" w:rsidRPr="000B02C5">
        <w:fldChar w:fldCharType="begin" w:fldLock="1"/>
      </w:r>
      <w:r w:rsidR="0041727A" w:rsidRPr="000B02C5">
        <w:instrText>ADDIN CSL_CITATION { "citationItems" : [ { "id" : "ITEM-1", "itemData" : { "PMID" : "2677", "abstract" : "The purpose of this article is to question whether the concept of social capital has anything original to offer for understanding why some communities have weaker networks compared to others, Drawing on an empirical example from Belfast, the article illustrates that the themes embedded in social capital have a long history Moreover, rather than a benign phenomenon, social capital excludes as well as includes community members within its networks. While Putnam (2000) tries to deal with this negative effect through his distinction between 'bonding' and 'bridging' social capital, his analysis is flawed. Moving from bonding' to bridging social capital is beset with contradictions. In order to set in motion the framework for bridging social capital to emerge,the conditions that led to the development of bonding social capital need to be undermined. However removing the rationale for the existence of bonding social capital by, no, means ensures that the path is paved for the development of bridging social capital, The article examines some of the problematic aspects of this transition, through an examination of community networks and relationships in one Catholic community in West Belfast. Here, the wider political conflict in Northern Ireland facilitated the development of bonding social capital, while the peace process provided opportunities for bridging social capital to strengthen and develope. The example indicates that the exclusion aspect of social capital persists in the transition from bonding to bridging social capital.", "author" : [ { "dropping-particle" : "", "family" : "Leonard", "given" : "M", "non-dropping-particle" : "", "parse-names" : false, "suffix" : "" } ], "container-title" : "Sociology-the Journal of the British Sociological Association", "id" : "ITEM-1", "issue" : "5", "issued" : { "date-parts" : [ [ "2004" ] ] }, "note" : "Sociology Sociology\nISI:000226188400004; 885WQ; Times Cited:64; Cited References Count:33", "page" : "927-944", "title" : "Bonding and bridging social capital: Reflections from Belfast", "type" : "article-journal", "volume" : "38" }, "uris" : [ "http://www.mendeley.com/documents/?uuid=fe27d199-26ee-40ae-a1e2-6e1231dfbf17" ] } ], "mendeley" : { "formattedCitation" : "(Leonard, 2004)", "plainTextFormattedCitation" : "(Leonard, 2004)", "previouslyFormattedCitation" : "(Leonard, 2004)" }, "properties" : { "noteIndex" : 0 }, "schema" : "https://github.com/citation-style-language/schema/raw/master/csl-citation.json" }</w:instrText>
      </w:r>
      <w:r w:rsidR="0041727A" w:rsidRPr="000B02C5">
        <w:fldChar w:fldCharType="separate"/>
      </w:r>
      <w:r w:rsidR="0041727A" w:rsidRPr="000B02C5">
        <w:rPr>
          <w:noProof/>
        </w:rPr>
        <w:t>(Leonard, 2004)</w:t>
      </w:r>
      <w:r w:rsidR="0041727A" w:rsidRPr="000B02C5">
        <w:fldChar w:fldCharType="end"/>
      </w:r>
      <w:r w:rsidR="0041727A" w:rsidRPr="000B02C5">
        <w:t xml:space="preserve"> </w:t>
      </w:r>
      <w:r w:rsidR="005223FE" w:rsidRPr="000B02C5">
        <w:t xml:space="preserve">In the </w:t>
      </w:r>
      <w:r w:rsidR="005223FE" w:rsidRPr="000B02C5">
        <w:lastRenderedPageBreak/>
        <w:t>counterfactual scenario, therefore, it may well have been that</w:t>
      </w:r>
      <w:r w:rsidR="002D4A9D" w:rsidRPr="000B02C5">
        <w:t xml:space="preserve"> some of</w:t>
      </w:r>
      <w:r w:rsidR="005223FE" w:rsidRPr="000B02C5">
        <w:t xml:space="preserve"> those who did not die of sectarian violence instead died of some of these other causes</w:t>
      </w:r>
      <w:r w:rsidR="002D4A9D" w:rsidRPr="000B02C5">
        <w:t>, and so the net deaths ‘caused’ by the conflict may be less than the number of people who died of conflict-related violence</w:t>
      </w:r>
      <w:r w:rsidR="005223FE" w:rsidRPr="000B02C5">
        <w:t xml:space="preserve">. </w:t>
      </w:r>
    </w:p>
    <w:p w14:paraId="59A7CEE5" w14:textId="15B9035B" w:rsidR="001B7B4E" w:rsidRPr="000B02C5" w:rsidRDefault="001B7B4E" w:rsidP="000B02C5">
      <w:pPr>
        <w:pStyle w:val="Heading3"/>
        <w:spacing w:line="480" w:lineRule="auto"/>
        <w:rPr>
          <w:color w:val="auto"/>
        </w:rPr>
      </w:pPr>
      <w:r w:rsidRPr="000B02C5">
        <w:rPr>
          <w:color w:val="auto"/>
        </w:rPr>
        <w:t>Methodological considerations and implications</w:t>
      </w:r>
    </w:p>
    <w:p w14:paraId="12EFC59C" w14:textId="4795187B" w:rsidR="005223FE" w:rsidRPr="000B02C5" w:rsidRDefault="0041727A" w:rsidP="000B02C5">
      <w:pPr>
        <w:spacing w:line="480" w:lineRule="auto"/>
      </w:pPr>
      <w:r w:rsidRPr="000B02C5">
        <w:t xml:space="preserve">This </w:t>
      </w:r>
      <w:r w:rsidR="005223FE" w:rsidRPr="000B02C5">
        <w:t xml:space="preserve">research originated through the use of Lexis surface visualisation to compare mortality trends in Scotland against neighbouring populations. </w:t>
      </w:r>
      <w:r w:rsidR="009140E4">
        <w:fldChar w:fldCharType="begin" w:fldLock="1"/>
      </w:r>
      <w:r w:rsidR="00044023">
        <w:instrText>ADDIN CSL_CITATION { "citationItems" : [ { "id" : "ITEM-1", "itemData" : { "DOI" : "10.1136/jech-2016-207379", "ISSN" : "0143-005X", "author" : [ { "dropping-particle" : "", "family" : "Minton", "given" : "Jon", "non-dropping-particle" : "", "parse-names" : false, "suffix" : "" }, { "dropping-particle" : "", "family" : "Shaw", "given" : "Richard", "non-dropping-particle" : "", "parse-names" : false, "suffix" : "" }, { "dropping-particle" : "", "family" : "Green", "given" : "Mark A", "non-dropping-particle" : "", "parse-names" : false, "suffix" : "" }, { "dropping-particle" : "", "family" : "Vanderbloemen", "given" : "Laura", "non-dropping-particle" : "", "parse-names" : false, "suffix" : "" }, { "dropping-particle" : "", "family" : "Popham", "given" : "Frank", "non-dropping-particle" : "", "parse-names" : false, "suffix" : "" }, { "dropping-particle" : "", "family" : "McCartney", "given" : "Gerry", "non-dropping-particle" : "", "parse-names" : false, "suffix" : "" } ], "container-title" : "Journal of Epidemiology and Community Health", "id" : "ITEM-1", "issue" : "5", "issued" : { "date-parts" : [ [ "2017", "5" ] ] }, "page" : "461-467", "title" : "Visualising and quantifying 'excess deaths' in Scotland compared with the rest of the UK and the rest of Western Europe", "type" : "article-journal", "volume" : "71" }, "uris" : [ "http://www.mendeley.com/documents/?uuid=17a1df2d-baf4-4bf7-b34d-48a070dd75e5" ] } ], "mendeley" : { "formattedCitation" : "(Jon Minton et al., 2017)", "manualFormatting" : "(Minton et al., 2017)", "plainTextFormattedCitation" : "(Jon Minton et al., 2017)", "previouslyFormattedCitation" : "(Jon Minton et al., 2017)" }, "properties" : { "noteIndex" : 0 }, "schema" : "https://github.com/citation-style-language/schema/raw/master/csl-citation.json" }</w:instrText>
      </w:r>
      <w:r w:rsidR="009140E4">
        <w:fldChar w:fldCharType="separate"/>
      </w:r>
      <w:r w:rsidR="00044023">
        <w:rPr>
          <w:noProof/>
        </w:rPr>
        <w:t>(</w:t>
      </w:r>
      <w:r w:rsidR="009140E4" w:rsidRPr="009140E4">
        <w:rPr>
          <w:noProof/>
        </w:rPr>
        <w:t>Minton et al., 2017)</w:t>
      </w:r>
      <w:r w:rsidR="009140E4">
        <w:fldChar w:fldCharType="end"/>
      </w:r>
      <w:r w:rsidR="00A96270">
        <w:t xml:space="preserve"> </w:t>
      </w:r>
      <w:r w:rsidR="005223FE" w:rsidRPr="000B02C5">
        <w:t xml:space="preserve">Scotland was compared firstly against the rest of the UK, then against England and Wales, and Northern Ireland separately. </w:t>
      </w:r>
      <w:r w:rsidR="008D1A01" w:rsidRPr="000B02C5">
        <w:t>In this last comparison a</w:t>
      </w:r>
      <w:r w:rsidR="00725DD5" w:rsidRPr="000B02C5">
        <w:t xml:space="preserve"> distinct visual ‘signal’ in Northern Irish male mortality was </w:t>
      </w:r>
      <w:r w:rsidR="008D1A01" w:rsidRPr="000B02C5">
        <w:t xml:space="preserve">identified </w:t>
      </w:r>
      <w:r w:rsidR="00725DD5" w:rsidRPr="000B02C5">
        <w:t xml:space="preserve">after 1972 mortality risks in </w:t>
      </w:r>
      <w:r w:rsidR="008D1A01" w:rsidRPr="000B02C5">
        <w:t xml:space="preserve">in that Scottish young adult male mortality rates, which generally lag Northern Ireland’s, suddenly looked better in comparison, whereas female rates did not. Northern Irish </w:t>
      </w:r>
      <w:r w:rsidR="00A96270">
        <w:t xml:space="preserve">young adult </w:t>
      </w:r>
      <w:r w:rsidR="008D1A01" w:rsidRPr="000B02C5">
        <w:t xml:space="preserve">male mortality was </w:t>
      </w:r>
      <w:r w:rsidR="00A96270">
        <w:t xml:space="preserve">worse during the peak of the Troubles </w:t>
      </w:r>
      <w:r w:rsidR="008D1A01" w:rsidRPr="000B02C5">
        <w:t>worse than in Eastern Europe</w:t>
      </w:r>
      <w:r w:rsidR="00725DD5" w:rsidRPr="000B02C5">
        <w:t xml:space="preserve">. The incidental and accidental origins of this paper therefore highlight the value to us of the data visualisation approaches employed, and of what Robert K Merton called ‘theories of the middle range’, of </w:t>
      </w:r>
      <w:r w:rsidR="00A96270">
        <w:t>allowing</w:t>
      </w:r>
      <w:r w:rsidR="00725DD5" w:rsidRPr="000B02C5">
        <w:t xml:space="preserve"> social hypotheses </w:t>
      </w:r>
      <w:r w:rsidR="00A96270">
        <w:t xml:space="preserve">to </w:t>
      </w:r>
      <w:r w:rsidR="002D4A9D" w:rsidRPr="000B02C5">
        <w:t>‘</w:t>
      </w:r>
      <w:r w:rsidR="00725DD5" w:rsidRPr="000B02C5">
        <w:t xml:space="preserve">emerge </w:t>
      </w:r>
      <w:r w:rsidR="002D4A9D" w:rsidRPr="000B02C5">
        <w:t xml:space="preserve">upwards’, </w:t>
      </w:r>
      <w:r w:rsidR="00725DD5" w:rsidRPr="000B02C5">
        <w:t xml:space="preserve">inductively or </w:t>
      </w:r>
      <w:proofErr w:type="spellStart"/>
      <w:r w:rsidR="00725DD5" w:rsidRPr="000B02C5">
        <w:t>abductively</w:t>
      </w:r>
      <w:proofErr w:type="spellEnd"/>
      <w:r w:rsidR="00725DD5" w:rsidRPr="000B02C5">
        <w:t xml:space="preserve"> from data exploration, rather than </w:t>
      </w:r>
      <w:r w:rsidR="002D4A9D" w:rsidRPr="000B02C5">
        <w:t xml:space="preserve">simply </w:t>
      </w:r>
      <w:r w:rsidR="00A96270">
        <w:t xml:space="preserve">being </w:t>
      </w:r>
      <w:r w:rsidR="002D4A9D" w:rsidRPr="000B02C5">
        <w:t xml:space="preserve">‘applied downwards’, beginning in canonical social texts, then operationalised and empirically tested in a </w:t>
      </w:r>
      <w:proofErr w:type="spellStart"/>
      <w:r w:rsidR="002D4A9D" w:rsidRPr="000B02C5">
        <w:t>hypothetico</w:t>
      </w:r>
      <w:proofErr w:type="spellEnd"/>
      <w:r w:rsidR="002D4A9D" w:rsidRPr="000B02C5">
        <w:t xml:space="preserve">-deductive fashion. </w:t>
      </w:r>
      <w:r w:rsidR="00A96270">
        <w:fldChar w:fldCharType="begin" w:fldLock="1"/>
      </w:r>
      <w:r w:rsidR="00146D0F">
        <w:instrText>ADDIN CSL_CITATION { "citationItems" : [ { "id" : "ITEM-1", "itemData" : { "ISBN" : "0-02-921130-1", "author" : [ { "dropping-particle" : "", "family" : "Merton", "given" : "R", "non-dropping-particle" : "", "parse-names" : false, "suffix" : "" } ], "id" : "ITEM-1", "issued" : { "date-parts" : [ [ "1968" ] ] }, "publisher" : "Free Press", "publisher-place" : "New York", "title" : "Social Theory and Social Structure", "type" : "book" }, "uris" : [ "http://www.mendeley.com/documents/?uuid=076ec491-90cb-4c00-b112-9faf78d53270" ] }, { "id" : "ITEM-2", "itemData" : { "ISBN" : "0374199639", "ISSN" : "00178136", "abstract" : "\"The Civil War made America a modern nation, unleashing forces of industrialism and expansion that had been kept in check for decades by the quarrel over slavery. But the war also discredited the ideas and beliefs of the era that preceded it. The Civil War swept away the slave civilization of the South, but almost the whole intellectual culture of the North went with it. It took nearly half a century for Americans to develop a set of ideas, a way of thinking, that would help them cope with the conditions of modern life. That struggle is the subject of this book.\" \"The story told in The Metaphysical Club runs through the lives of Oliver Wendell Holmes, Jr., a Civil War hero who became the dominant legal thinker of his time; his best friend as a young man, William James, son of an eccentric moral philosopher, brother of a great novelist, and the father of modern psychology in America; and the brilliant and troubled logician, scientist, and founder of semiotics, Charles Sanders Peirce. Together they belonged to an informal discussion group that met in Cambridge, Massachusetts, in 1872 and called itself the Metaphysical Club. The club was probably in existence for only nine months, and no records were kept. The one thing we know that came out of it was an idea - an idea about ideas, about the role beliefs play in people's lives. This idea informs the writings of these three thinkers, and the work of the fourth figure in the book, John Dewey - student of Peirce, friend and ally of James, admirer of Holmes.\" \"The Metaphysical Club begins with the Civil War and ends in 1919 with the Supreme Court's decision in U.S. v. Abrams, the basis for the modern law of free speech. It tells the story of the creation of ideas and values that changed the way Americans think and the way they live.\"--Jacket.", "author" : [ { "dropping-particle" : "", "family" : "Menand", "given" : "Louis", "non-dropping-particle" : "", "parse-names" : false, "suffix" : "" } ], "container-title" : "Harvard Library Bulletin", "id" : "ITEM-2", "issue" : "2", "issued" : { "date-parts" : [ [ "2009" ] ] }, "page" : "22-23", "title" : "The Metaphysical Club.", "type" : "article-journal", "volume" : "20" }, "uris" : [ "http://www.mendeley.com/documents/?uuid=c812b87e-7d28-48d8-8ffd-57e5ab0e9a31" ] } ], "mendeley" : { "formattedCitation" : "(Menand, 2009; Merton, 1968)", "plainTextFormattedCitation" : "(Menand, 2009; Merton, 1968)", "previouslyFormattedCitation" : "(Menand, 2009; Merton, 1968)" }, "properties" : { "noteIndex" : 0 }, "schema" : "https://github.com/citation-style-language/schema/raw/master/csl-citation.json" }</w:instrText>
      </w:r>
      <w:r w:rsidR="00A96270">
        <w:fldChar w:fldCharType="separate"/>
      </w:r>
      <w:r w:rsidR="00A96270" w:rsidRPr="00A96270">
        <w:rPr>
          <w:noProof/>
        </w:rPr>
        <w:t>(Menand, 2009; Merton, 1968)</w:t>
      </w:r>
      <w:r w:rsidR="00A96270">
        <w:fldChar w:fldCharType="end"/>
      </w:r>
    </w:p>
    <w:p w14:paraId="1C1B363B" w14:textId="194798C8" w:rsidR="002D4A9D" w:rsidRDefault="00E34348" w:rsidP="000B02C5">
      <w:pPr>
        <w:spacing w:line="480" w:lineRule="auto"/>
      </w:pPr>
      <w:r w:rsidRPr="000B02C5">
        <w:t>The</w:t>
      </w:r>
      <w:r w:rsidR="002D4A9D" w:rsidRPr="000B02C5">
        <w:t xml:space="preserve"> specific model specification, including first an impulse component then an exponential decay, can be used to model particular types of mortality pattern disruption, likely attributable to violence or more general social disorder, even when only relatively limited all-cause mortality data are available, and specific death codes, such as ICD-10 codes</w:t>
      </w:r>
      <w:r w:rsidR="008D1A01" w:rsidRPr="000B02C5">
        <w:t>, are not recorded consistently</w:t>
      </w:r>
      <w:r w:rsidR="002D4A9D" w:rsidRPr="000B02C5">
        <w:t xml:space="preserve">. </w:t>
      </w:r>
      <w:r w:rsidRPr="000B02C5">
        <w:t>This</w:t>
      </w:r>
      <w:r w:rsidR="002D4A9D" w:rsidRPr="000B02C5">
        <w:t xml:space="preserve"> situation is likely to be the case both for less affluent nations in more recent years, as well as for historic demographic data from more affluen</w:t>
      </w:r>
      <w:r w:rsidR="001B7B4E" w:rsidRPr="000B02C5">
        <w:t xml:space="preserve">t data. </w:t>
      </w:r>
      <w:r w:rsidR="00CD5496" w:rsidRPr="000B02C5">
        <w:t xml:space="preserve">One specific benefit of the modelling approach used here is in allowing conflict-attributable mortality to be compared in terms of both initial </w:t>
      </w:r>
      <w:r w:rsidR="00CD5496" w:rsidRPr="000B02C5">
        <w:lastRenderedPageBreak/>
        <w:t>inten</w:t>
      </w:r>
      <w:r w:rsidR="00322835" w:rsidRPr="000B02C5">
        <w:t>sity (the height of the initiation</w:t>
      </w:r>
      <w:r w:rsidR="00CD5496" w:rsidRPr="000B02C5">
        <w:t xml:space="preserve"> in the first year) and also duration in terms of decay rates and so conflict half-life. </w:t>
      </w:r>
    </w:p>
    <w:p w14:paraId="57D9D1F1" w14:textId="19A636CA" w:rsidR="009140E4" w:rsidRPr="000B02C5" w:rsidRDefault="009140E4" w:rsidP="009140E4">
      <w:pPr>
        <w:spacing w:line="480" w:lineRule="auto"/>
      </w:pPr>
      <w:r w:rsidRPr="000B02C5">
        <w:t>The model appears characteristic of a population that was in some senses ‘febrile’ or ‘fissile’ in its response to exogenous social, political and economic events and processes</w:t>
      </w:r>
      <w:r w:rsidR="00A96270">
        <w:t>, and is to some extent consistent with previous attempts to model processes of violence as complex systems involving either systems of nonlinear equations or agent-based models</w:t>
      </w:r>
      <w:r w:rsidRPr="000B02C5">
        <w:t xml:space="preserve">. </w:t>
      </w:r>
      <w:r w:rsidR="00A96270" w:rsidRPr="000B02C5">
        <w:fldChar w:fldCharType="begin" w:fldLock="1"/>
      </w:r>
      <w:r w:rsidR="00A96270" w:rsidRPr="000B02C5">
        <w:instrText>ADDIN CSL_CITATION { "citationItems" : [ { "id" : "ITEM-1", "itemData" : { "DOI" : "10.1108/03684920610640308", "ISSN" : "0368-492X", "PMID" : "2527", "abstract" : "Purpose - The purpose of this paper is to provide a more holistic approach to analysing the impact of all the behaviour of a conflict's participants its overall dynamics, using the example of the Northern Irish troubles. Design/methodology/approach - A novel multivariate time series approach developed by Professor Paul Smoker is presented which can map the dynamics of this conflict and its causal inferences as a series or \"systemograms\". Findings - The case example reveals high levels of autocorrelation in the variety of techniques used by the state security authorities to suppress terrorism, indicating their strong role in maintaining this conflict. When more than one party exhibits such behaviour, the conflict \"locks in\". Research limitations/imphcations - The work remains preliminary and historical. Data was collected on a month-by-month basis which suggests associated rather than direct causal influence. It would be useful to further explore these findings using data from similar conflicts. Practical implications - Suggests that some counter-terrorism approaches may be dysfunctional especially those adopting sub-lethal weapons. Provides some insight into behavioural changes required to prevent conflict destabilisation. Originality/value - Provides a novel conflict research methodology which allows the strong structural dynamics of the conflict to be seen - much the way that elapsed time photography enables hidden processes to be revealed. The raw statistics are presented here.", "author" : [ { "dropping-particle" : "", "family" : "Wright", "given" : "Steve", "non-dropping-particle" : "", "parse-names" : false, "suffix" : "" } ], "container-title" : "Kybernetes", "editor" : [ { "dropping-particle" : "", "family" : "Espinosa", "given" : "Angela", "non-dropping-particle" : "", "parse-names" : false, "suffix" : "" } ], "id" : "ITEM-1", "issue" : "1/2", "issued" : { "date-parts" : [ [ "2006", "1" ] ] }, "note" : "Kybernetes Kybernetes\nISI:000236842300014; 033JD; Times Cited:1; Cited References Count:16", "page" : "182-194", "title" : "A systems approach to analysing sub\u2010state conflicts", "type" : "article-journal", "volume" : "35" }, "uris" : [ "http://www.mendeley.com/documents/?uuid=4daf5dbe-65aa-4738-9620-ea0dcc529f5c" ] } ], "mendeley" : { "formattedCitation" : "(Wright, 2006)", "plainTextFormattedCitation" : "(Wright, 2006)", "previouslyFormattedCitation" : "(Wright, 2006)" }, "properties" : { "noteIndex" : 0 }, "schema" : "https://github.com/citation-style-language/schema/raw/master/csl-citation.json" }</w:instrText>
      </w:r>
      <w:r w:rsidR="00A96270" w:rsidRPr="000B02C5">
        <w:fldChar w:fldCharType="separate"/>
      </w:r>
      <w:r w:rsidR="00A96270" w:rsidRPr="000B02C5">
        <w:rPr>
          <w:noProof/>
        </w:rPr>
        <w:t>(Wright, 2006)</w:t>
      </w:r>
      <w:r w:rsidR="00A96270" w:rsidRPr="000B02C5">
        <w:fldChar w:fldCharType="end"/>
      </w:r>
      <w:r w:rsidR="004436DF" w:rsidRPr="004436DF">
        <w:t xml:space="preserve"> </w:t>
      </w:r>
      <w:r w:rsidR="004436DF" w:rsidRPr="000B02C5">
        <w:t>A paper describing an agent-based model of processes and dynamics of civil war emphasises the punctuated equilibria – sudden increases in violence punctuating longer periods of relative calm – can be expected in such complex systems, and that it is important to consider the ways that agents involved in war adapt over time in their attitudes and behaviour.</w:t>
      </w:r>
      <w:r w:rsidR="004436DF" w:rsidRPr="000B02C5">
        <w:fldChar w:fldCharType="begin" w:fldLock="1"/>
      </w:r>
      <w:r w:rsidR="004436DF" w:rsidRPr="000B02C5">
        <w:instrText>ADDIN CSL_CITATION { "citationItems" : [ { "id" : "ITEM-1", "itemData" : { "DOI" : "10.1002/cplx.20232", "ISSN" : "10762787", "PMID" : "2104", "abstract" : "Civil wars pose one of the most challenging threats to peace in the post-WWII era. The successful resolution of ongoing civil wars is particularly difficult. Parties opposing peace successfully subverted negotiated agreements in contexts as diverse as Rwanda, Northern Ireland, and Bosnia. Despite growing attention to civil wars in the empirical literature, little formal-theoretic work addresses the dynamics of civil wars. Empirical work demonstrates that the resolution of civil wars is both complex and uncertain: civil war combatants are heterogeneous in their traits, incompletely informed, and thus, boundedly rational, capable of learning from history and adapting their behavior - all hallmarks of a complex adaptive system. I employ an agent-based model, therefore, to capture these characteristics and address the conditions affecting the dynamics and evolution of civil wars. In particular, I focus on the evolutionary context Of civil wars including learning and adaption and find that civil wars with adaptive combatants exhibit vastly different behavior than those without adaptive agents. (C) 2008 Wiley Periodicals, Inc.", "author" : [ { "dropping-particle" : "", "family" : "Findley", "given" : "Michael G", "non-dropping-particle" : "", "parse-names" : false, "suffix" : "" } ], "container-title" : "Complexity", "editor" : [ { "dropping-particle" : "", "family" : "Scheffran", "given" : "J\u00fcrgen", "non-dropping-particle" : "", "parse-names" : false, "suffix" : "" } ], "id" : "ITEM-1", "issue" : "1", "issued" : { "date-parts" : [ [ "2008", "9" ] ] }, "note" : "Complexity Complexity\nISI:000259423500003; Sp. Iss. SI; 351KP; Times Cited:4; Cited References Count:21", "page" : "22-35", "title" : "Agents and conflict: Adaptation and the dynamics of war", "type" : "article-journal", "volume" : "14" }, "uris" : [ "http://www.mendeley.com/documents/?uuid=fac54ae0-b0e3-4b8d-ab28-2534895a18e0" ] } ], "mendeley" : { "formattedCitation" : "(Findley, 2008)", "plainTextFormattedCitation" : "(Findley, 2008)", "previouslyFormattedCitation" : "(Findley, 2008)" }, "properties" : { "noteIndex" : 0 }, "schema" : "https://github.com/citation-style-language/schema/raw/master/csl-citation.json" }</w:instrText>
      </w:r>
      <w:r w:rsidR="004436DF" w:rsidRPr="000B02C5">
        <w:fldChar w:fldCharType="separate"/>
      </w:r>
      <w:r w:rsidR="004436DF" w:rsidRPr="000B02C5">
        <w:rPr>
          <w:noProof/>
        </w:rPr>
        <w:t>(Findley, 2008)</w:t>
      </w:r>
      <w:r w:rsidR="004436DF" w:rsidRPr="000B02C5">
        <w:fldChar w:fldCharType="end"/>
      </w:r>
      <w:r w:rsidR="004436DF">
        <w:t xml:space="preserve"> </w:t>
      </w:r>
      <w:r w:rsidRPr="000B02C5">
        <w:t xml:space="preserve">Though it took a number of years, possibly three years, for the series of events which began in the late 1960s to lead to the initiation of conflict, this effect of this conflict was then sustained endogenously over many decades. This appears to represent the essence of cycles of violence driven by tit-for-tat processes of recrimination and revenge. For both sides, justice meant responding to violence with violence, a process of call and response in deadly conflict that, like an echo in a cave, only diminished slowly in intensity over time. Once this wave of conflict was initiated, it may have been that there was little that external agents could have done to either exacerbate or hasten the process of decline in violence. </w:t>
      </w:r>
    </w:p>
    <w:p w14:paraId="74A49F99" w14:textId="774E59B1" w:rsidR="001B7B4E" w:rsidRPr="000B02C5" w:rsidRDefault="001B7B4E" w:rsidP="000B02C5">
      <w:pPr>
        <w:pStyle w:val="Heading3"/>
        <w:spacing w:line="480" w:lineRule="auto"/>
        <w:rPr>
          <w:color w:val="auto"/>
        </w:rPr>
      </w:pPr>
      <w:r w:rsidRPr="000B02C5">
        <w:rPr>
          <w:color w:val="auto"/>
        </w:rPr>
        <w:t xml:space="preserve">Implications of the </w:t>
      </w:r>
      <w:r w:rsidR="00322835" w:rsidRPr="000B02C5">
        <w:rPr>
          <w:color w:val="auto"/>
        </w:rPr>
        <w:t>initiation</w:t>
      </w:r>
      <w:r w:rsidRPr="000B02C5">
        <w:rPr>
          <w:color w:val="auto"/>
        </w:rPr>
        <w:t>-decay model to conflict in Northern Ireland</w:t>
      </w:r>
    </w:p>
    <w:p w14:paraId="14E5EE7C" w14:textId="77777777" w:rsidR="00146D0F" w:rsidRDefault="00146D0F" w:rsidP="00146D0F">
      <w:pPr>
        <w:spacing w:line="480" w:lineRule="auto"/>
      </w:pPr>
      <w:r w:rsidRPr="000B02C5">
        <w:t xml:space="preserve">If, once initiated, the conflict was largely endogenously </w:t>
      </w:r>
      <w:r>
        <w:t>sustained</w:t>
      </w:r>
      <w:r w:rsidRPr="000B02C5">
        <w:t xml:space="preserve">, this has important implications for how the various peace initiatives and processes which were attempted after 1972 should be interpreted in terms of their effectiveness. Up to seven prior attempts at bringing peace to Northern Ireland were made between 1969 and the Belfast Agreement of 1998, including the </w:t>
      </w:r>
      <w:proofErr w:type="spellStart"/>
      <w:r w:rsidRPr="000B02C5">
        <w:t>Sunningdale</w:t>
      </w:r>
      <w:proofErr w:type="spellEnd"/>
      <w:r w:rsidRPr="000B02C5">
        <w:t xml:space="preserve"> Agreement of 1973. It has been argued that what made the Belfast successful was the presence of key individuals acting effectively as ‘brokers’ in the complex social networks which had to be negotiated at the time.</w:t>
      </w:r>
      <w:r w:rsidRPr="000B02C5">
        <w:fldChar w:fldCharType="begin" w:fldLock="1"/>
      </w:r>
      <w:r w:rsidRPr="000B02C5">
        <w:instrText>ADDIN CSL_CITATION { "citationItems" : [ { "id" : "ITEM-1", "itemData" : { "DOI" : "10.1111/j.1468-2478.2012.00737.x", "ISSN" : "00208833", "abstract" : "After over 20 years of fighting in Northern Ireland, the Belfast Agreement of 1998 has successfully implemented a power-sharing agreement. Belfast was not the first attempt at a peaceful settlement; indeed, some scholars count as many as seven prior peace attempts in Northern Ireland, the most significant being the Sunningdale Agreement of 1973. Why was it that politicians successfully negotiated the peace in 1998, while these prior attempts failed? Drawing from social network theory, I argue that the Belfast Agreement succeeded, not because of a change of interests or disappearance of spoilers, but because of the presence of brokers at the bargaining table. Brokers, in particular, have the capacity to legitimate settlements\u2014to frame settlements in such a way that they appear consistent with principles held by multiple coalitions. As a result, brokers are both more likely to build a winning coalition for a settlement, as well as marginalize spoilers who seek to undermine the peace.", "author" : [ { "dropping-particle" : "", "family" : "Goddard", "given" : "STACIE E.", "non-dropping-particle" : "", "parse-names" : false, "suffix" : "" } ], "container-title" : "International Studies Quarterly", "id" : "ITEM-1", "issue" : "3", "issued" : { "date-parts" : [ [ "2012", "9" ] ] }, "page" : "501-515", "title" : "Brokering Peace: Networks, Legitimacy, and the Northern Ireland Peace Process", "type" : "article-journal", "volume" : "56" }, "uris" : [ "http://www.mendeley.com/documents/?uuid=6aaa144c-3a63-4738-bea1-ff66df641697" ] } ], "mendeley" : { "formattedCitation" : "(Goddard, 2012)", "plainTextFormattedCitation" : "(Goddard, 2012)", "previouslyFormattedCitation" : "(Goddard, 2012)" }, "properties" : { "noteIndex" : 0 }, "schema" : "https://github.com/citation-style-language/schema/raw/master/csl-citation.json" }</w:instrText>
      </w:r>
      <w:r w:rsidRPr="000B02C5">
        <w:fldChar w:fldCharType="separate"/>
      </w:r>
      <w:r w:rsidRPr="000B02C5">
        <w:rPr>
          <w:noProof/>
        </w:rPr>
        <w:t>(Goddard, 2012)</w:t>
      </w:r>
      <w:r w:rsidRPr="000B02C5">
        <w:fldChar w:fldCharType="end"/>
      </w:r>
      <w:r w:rsidRPr="000B02C5">
        <w:t xml:space="preserve">  However, if the underlying dynamics of the model are </w:t>
      </w:r>
      <w:r w:rsidRPr="000B02C5">
        <w:lastRenderedPageBreak/>
        <w:t xml:space="preserve">accurate, then </w:t>
      </w:r>
      <w:r>
        <w:t xml:space="preserve">such </w:t>
      </w:r>
      <w:r w:rsidRPr="000B02C5">
        <w:t>factors may be greatly overstated. If the half-life of the conflict was 6.76 years and began in 1972, it follows that by 1994 the intensity of the conflict had diminished to around one-tenth of its initial level. (i.e</w:t>
      </w:r>
      <w:proofErr w:type="gramStart"/>
      <w:r w:rsidRPr="000B02C5">
        <w:t xml:space="preserve">. </w:t>
      </w:r>
      <w:proofErr w:type="gramEnd"/>
      <m:oMath>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(1994-1972)</m:t>
            </m:r>
          </m:sup>
        </m:sSup>
        <m:r>
          <w:rPr>
            <w:rFonts w:ascii="Cambria Math" w:eastAsiaTheme="minorEastAsia" w:hAnsi="Cambria Math"/>
          </w:rPr>
          <m:t>=0.105</m:t>
        </m:r>
      </m:oMath>
      <w:r w:rsidRPr="000B02C5">
        <w:rPr>
          <w:rFonts w:eastAsiaTheme="minorEastAsia"/>
        </w:rPr>
        <w:t xml:space="preserve">). Similarly, by the time of the Good Friday Agreement in 1998 the underlying conflict intensity had diminished to around 7% of its initial value </w:t>
      </w:r>
      <w:r w:rsidRPr="000B02C5">
        <w:t>(i.e</w:t>
      </w:r>
      <w:proofErr w:type="gramStart"/>
      <w:r w:rsidRPr="000B02C5">
        <w:t xml:space="preserve">. </w:t>
      </w:r>
      <w:proofErr w:type="gramEnd"/>
      <m:oMath>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(1998-1972)</m:t>
            </m:r>
          </m:sup>
        </m:sSup>
        <m:r>
          <w:rPr>
            <w:rFonts w:ascii="Cambria Math" w:eastAsiaTheme="minorEastAsia" w:hAnsi="Cambria Math"/>
          </w:rPr>
          <m:t>=0.069</m:t>
        </m:r>
      </m:oMath>
      <w:r w:rsidRPr="000B02C5">
        <w:rPr>
          <w:rFonts w:eastAsiaTheme="minorEastAsia"/>
        </w:rPr>
        <w:t>). Note that these intensity values apply to log</w:t>
      </w:r>
      <w:r w:rsidRPr="000B02C5">
        <w:rPr>
          <w:rFonts w:eastAsiaTheme="minorEastAsia"/>
          <w:vertAlign w:val="subscript"/>
        </w:rPr>
        <w:t>10</w:t>
      </w:r>
      <w:r w:rsidRPr="000B02C5">
        <w:rPr>
          <w:rFonts w:eastAsiaTheme="minorEastAsia"/>
        </w:rPr>
        <w:t xml:space="preserve"> mortality risks, so the actual level of decline of conflict intensity on deaths by the mid to late 1990s will have been even greater. </w:t>
      </w:r>
      <w:r w:rsidRPr="000B02C5">
        <w:t xml:space="preserve"> </w:t>
      </w:r>
    </w:p>
    <w:p w14:paraId="63A25EFA" w14:textId="074BB897" w:rsidR="00146D0F" w:rsidRPr="000B02C5" w:rsidRDefault="00146D0F" w:rsidP="00146D0F">
      <w:pPr>
        <w:spacing w:line="480" w:lineRule="auto"/>
      </w:pPr>
      <w:r w:rsidRPr="000B02C5">
        <w:t>The power sharing arrangement following the Good Friday Agreement (GFA) has been described as an example of ‘</w:t>
      </w:r>
      <w:proofErr w:type="spellStart"/>
      <w:r w:rsidRPr="000B02C5">
        <w:t>consociationalism</w:t>
      </w:r>
      <w:proofErr w:type="spellEnd"/>
      <w:r w:rsidRPr="000B02C5">
        <w:t>’, a system of government in which coalition by both Republicans and Loyalists is mandated.</w:t>
      </w:r>
      <w:r w:rsidRPr="000B02C5">
        <w:fldChar w:fldCharType="begin" w:fldLock="1"/>
      </w:r>
      <w:r w:rsidR="00A30D59">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"(Anderson, 2008)", "plainTextFormattedCitation" : "(Anderson, 2008)", "previouslyFormattedCitation" : "(Anderson, 2008)" }, "properties" : { "noteIndex" : 0 }, "schema" : "https://github.com/citation-style-language/schema/raw/master/csl-citation.json" }</w:instrText>
      </w:r>
      <w:r w:rsidRPr="000B02C5">
        <w:fldChar w:fldCharType="separate"/>
      </w:r>
      <w:r w:rsidRPr="00146D0F">
        <w:rPr>
          <w:noProof/>
        </w:rPr>
        <w:t>(Anderson, 2008)</w:t>
      </w:r>
      <w:r w:rsidRPr="000B02C5">
        <w:fldChar w:fldCharType="end"/>
      </w:r>
      <w:r w:rsidRPr="000B02C5">
        <w:t xml:space="preserve"> The </w:t>
      </w:r>
      <w:proofErr w:type="spellStart"/>
      <w:r w:rsidRPr="000B02C5">
        <w:t>consociational</w:t>
      </w:r>
      <w:proofErr w:type="spellEnd"/>
      <w:r w:rsidRPr="000B02C5">
        <w:t xml:space="preserve"> arrangement following the GFA has led to little change in the ethno-sectarian identity focus of any of the main parties within Northern Ireland. Indeed, the political success of Sinn Fein at the expense of the more moderate Social Democratic and Labour Party (SDLP) in capturing the Irish Nationalist voting block after the GFA suggests sectarian identity may have come to matter more, not less, to voting intentions following the GFA.</w:t>
      </w:r>
      <w:r w:rsidRPr="000B02C5">
        <w:fldChar w:fldCharType="begin" w:fldLock="1"/>
      </w:r>
      <w:r w:rsidRPr="000B02C5">
        <w:instrText>ADDIN CSL_CITATION { "citationItems" : [ { "id" : "ITEM-1", "itemData" : { "DOI" : "10.1111/j.1467-856X.2012.00528.x", "ISSN" : "1369-1481", "abstract" : "Research Highlights and Abstract Offers one of the first detailed considerations of how political parties in Northern Ireland have adapted to the impact of the dual legitimacy of Protestant-British-Unionist and Catholic-Irish-Nationalist identities central to the Good Friday/Belfast Agreement Extends debates about devolution and party competition which have been centred on Great Britain to the United Kingdom. Outlines how the continuing bi-communalism of the electorate discourages parties from reshaping identity or chasing votes beyond the ethnic divide Analyses how nationalist parties, Sinn F\u00e9in in particular, have developed the rights of all citizens on the island of Ireland to be Irish, under the post-Good Friday Agreement Irish constitution Assesses the data indicating a modest growth of a common Northern Irish identity In this article we examine how party political competition in Northern Ireland impacts on understandings of national identity and citizenship both within the region and elsewhere in the UK. These dynamics can be seen in expressions of political identity and through organisational change and electoral strategies. The consociational framework in which Northern Irish parties operate is one of the most powerful dynamics and we assess how it has shaped intra-community party competition, most notably through the emergence of the Democratic Unionist Party and Sinn F\u00e9in as the strongest unionist and nationalist parties respectively. However, our analysis of campaigning and voting in the 2010 General Election and 2011 Assembly elections also shows that the transformation of party political competition in the UK after devolution is an important dynamic and one that has shaped unionist electoral strategies in particular.", "author" : [ { "dropping-particle" : "", "family" : "McGlynn", "given" : "Catherine", "non-dropping-particle" : "", "parse-names" : false, "suffix" : "" }, { "dropping-particle" : "", "family" : "Tonge", "given" : "Jonathan", "non-dropping-particle" : "", "parse-names" : false, "suffix" : "" }, { "dropping-particle" : "", "family" : "McAuley", "given" : "Jim", "non-dropping-particle" : "", "parse-names" : false, "suffix" : "" } ], "container-title" : "The British Journal of Politics and International Relations", "id" : "ITEM-1", "issue" : "2", "issued" : { "date-parts" : [ [ "2014", "5" ] ] }, "page" : "273-290", "title" : "The Party Politics of Post-Devolution Identity in Northern Ireland", "type" : "article-journal", "volume" : "16" }, "uris" : [ "http://www.mendeley.com/documents/?uuid=fb4bda3e-f672-4509-bebb-01bc3e856296" ] } ], "mendeley" : { "formattedCitation" : "(McGlynn, Tonge, &amp; McAuley, 2014)", "plainTextFormattedCitation" : "(McGlynn, Tonge, &amp; McAuley, 2014)", "previouslyFormattedCitation" : "(McGlynn, Tonge, &amp; McAuley, 2014)" }, "properties" : { "noteIndex" : 0 }, "schema" : "https://github.com/citation-style-language/schema/raw/master/csl-citation.json" }</w:instrText>
      </w:r>
      <w:r w:rsidRPr="000B02C5">
        <w:fldChar w:fldCharType="separate"/>
      </w:r>
      <w:r w:rsidRPr="000B02C5">
        <w:rPr>
          <w:noProof/>
        </w:rPr>
        <w:t>(</w:t>
      </w:r>
      <w:proofErr w:type="spellStart"/>
      <w:r w:rsidRPr="000B02C5">
        <w:rPr>
          <w:noProof/>
        </w:rPr>
        <w:t>McGlynn</w:t>
      </w:r>
      <w:proofErr w:type="spellEnd"/>
      <w:r w:rsidRPr="000B02C5">
        <w:rPr>
          <w:noProof/>
        </w:rPr>
        <w:t>, Tonge, &amp; McAuley, 2014)</w:t>
      </w:r>
      <w:r w:rsidRPr="000B02C5">
        <w:fldChar w:fldCharType="end"/>
      </w:r>
      <w:r w:rsidRPr="000B02C5">
        <w:t xml:space="preserve"> Cross-ethnic political parties have seen only limited success after the GFA compared with sectarian political parties, and this lack of success has been attributed to the </w:t>
      </w:r>
      <w:proofErr w:type="spellStart"/>
      <w:r>
        <w:t>consociationalist</w:t>
      </w:r>
      <w:proofErr w:type="spellEnd"/>
      <w:r w:rsidRPr="000B02C5">
        <w:t xml:space="preserve"> institutions established in the wake of the GFA to accommodate (rather than attempt to blend) rival identities.</w:t>
      </w:r>
      <w:r w:rsidRPr="000B02C5">
        <w:fldChar w:fldCharType="begin" w:fldLock="1"/>
      </w:r>
      <w:r w:rsidRPr="000B02C5">
        <w:instrText>ADDIN CSL_CITATION { "citationItems" : [ { "id" : "ITEM-1", "itemData" : { "DOI" : "10.1111/nana.12129", "ISSN" : "13545078", "abstract" : "This paper investigates the paradox in post-conflict societies of continued marginality of cross-ethnic parties despite significant convergence in public attitudes and identities. In so doing, it examines the argument that parties that attempt to reach across the divide are constrained by consocational institutions designed to accommodate rival identities in such environments. The paper explores this puzzle in the context of Northern Ireland, drawing upon qualitative evidence from elite interviews and focus groups collected in 2012 and 2013. It concludes that cross-community parties operating in the region do encounter formal institutional barriers, but that such barriers only partially explain the phenomenon and an interplay between formal and informal constraints underlies their position of relatively limited electoral success.", "author" : [ { "dropping-particle" : "", "family" : "Murtagh", "given" : "Cera", "non-dropping-particle" : "", "parse-names" : false, "suffix" : "" } ], "container-title" : "Nations and Nationalism", "id" : "ITEM-1", "issue" : "3", "issued" : { "date-parts" : [ [ "2015", "7" ] ] }, "page" : "544-565", "title" : "Reaching across: institutional barriers to cross-ethnic parties in post-conflict societies and the case of Northern Ireland", "type" : "article-journal", "volume" : "21" }, "uris" : [ "http://www.mendeley.com/documents/?uuid=259dbb53-0f2e-40fb-8179-dd08f3883008" ] } ], "mendeley" : { "formattedCitation" : "(Murtagh, 2015)", "plainTextFormattedCitation" : "(Murtagh, 2015)", "previouslyFormattedCitation" : "(Murtagh, 2015)" }, "properties" : { "noteIndex" : 0 }, "schema" : "https://github.com/citation-style-language/schema/raw/master/csl-citation.json" }</w:instrText>
      </w:r>
      <w:r w:rsidRPr="000B02C5">
        <w:fldChar w:fldCharType="separate"/>
      </w:r>
      <w:r w:rsidRPr="000B02C5">
        <w:rPr>
          <w:noProof/>
        </w:rPr>
        <w:t>(</w:t>
      </w:r>
      <w:proofErr w:type="spellStart"/>
      <w:r w:rsidRPr="000B02C5">
        <w:rPr>
          <w:noProof/>
        </w:rPr>
        <w:t>Murtagh</w:t>
      </w:r>
      <w:proofErr w:type="spellEnd"/>
      <w:r w:rsidRPr="000B02C5">
        <w:rPr>
          <w:noProof/>
        </w:rPr>
        <w:t>, 2015)</w:t>
      </w:r>
      <w:r w:rsidRPr="000B02C5">
        <w:fldChar w:fldCharType="end"/>
      </w:r>
      <w:r>
        <w:t xml:space="preserve"> </w:t>
      </w:r>
      <w:r w:rsidRPr="000B02C5">
        <w:t xml:space="preserve">Questions have therefore been raised about whether the GFA represents or helps to bring about conflict </w:t>
      </w:r>
      <w:r w:rsidRPr="000B02C5">
        <w:rPr>
          <w:i/>
        </w:rPr>
        <w:t>resolution</w:t>
      </w:r>
      <w:r w:rsidRPr="000B02C5">
        <w:t xml:space="preserve">, or is simply conflict </w:t>
      </w:r>
      <w:r w:rsidRPr="000B02C5">
        <w:rPr>
          <w:i/>
        </w:rPr>
        <w:t>management</w:t>
      </w:r>
      <w:r>
        <w:t>,</w:t>
      </w:r>
      <w:r w:rsidRPr="000B02C5">
        <w:t xml:space="preserve"> </w:t>
      </w:r>
      <w:r>
        <w:t xml:space="preserve">or </w:t>
      </w:r>
      <w:r w:rsidRPr="000B02C5">
        <w:t>more pessimistically</w:t>
      </w:r>
      <w:r>
        <w:t>, conflict deferment</w:t>
      </w:r>
      <w:r w:rsidRPr="000B02C5">
        <w:t>.</w:t>
      </w:r>
      <w:r w:rsidRPr="000B02C5">
        <w:fldChar w:fldCharType="begin" w:fldLock="1"/>
      </w:r>
      <w:r w:rsidR="00A30D59">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"(Anderson, 2008)", "plainTextFormattedCitation" : "(Anderson, 2008)", "previouslyFormattedCitation" : "(Anderson, 2008)" }, "properties" : { "noteIndex" : 0 }, "schema" : "https://github.com/citation-style-language/schema/raw/master/csl-citation.json" }</w:instrText>
      </w:r>
      <w:r w:rsidRPr="000B02C5">
        <w:fldChar w:fldCharType="separate"/>
      </w:r>
      <w:r w:rsidRPr="00146D0F">
        <w:rPr>
          <w:noProof/>
        </w:rPr>
        <w:t>(Anderson, 2008)</w:t>
      </w:r>
      <w:r w:rsidRPr="000B02C5">
        <w:fldChar w:fldCharType="end"/>
      </w:r>
      <w:r w:rsidRPr="000B02C5">
        <w:t xml:space="preserve"> </w:t>
      </w:r>
    </w:p>
    <w:p w14:paraId="72453952" w14:textId="152A6E8D" w:rsidR="008D1A01" w:rsidRPr="000B02C5" w:rsidRDefault="00A96270" w:rsidP="000B02C5">
      <w:pPr>
        <w:spacing w:line="480" w:lineRule="auto"/>
      </w:pPr>
      <w:r>
        <w:t>W</w:t>
      </w:r>
      <w:r w:rsidR="00EF2178" w:rsidRPr="000B02C5">
        <w:t>hereas ethno-national conflict since the establishment of Northern Ireland in 1921 sharpened the border with the Republic of Ireland, the European Single Market made it more permeable.</w:t>
      </w:r>
      <w:r w:rsidR="00EF2178" w:rsidRPr="000B02C5">
        <w:fldChar w:fldCharType="begin" w:fldLock="1"/>
      </w:r>
      <w:r w:rsidR="00EF2178" w:rsidRPr="000B02C5">
        <w:instrText>ADDIN CSL_CITATION { "citationItems" : [ { "id" : "ITEM-1", "itemData" : { "DOI" : "10.1080/00343409950078710", "ISSN" : "0034-3404", "PMID" : "3324", "abstract" : "The Irish state border provides an interesting case study of interrelationships between the sharpened borders of ethno-national conflict and the more permeable borders of the European Single Market. It highlights the interplay of state and ethno-national borders. It links questions often associated with the violent proliferation of borders in Eastern Europe with questions concerning the impact of European integration and other forms of globalization on borders in western Europe. The paper is divided into three main sections: (1) an outline of the origins and characteristics of a border which was imposed by an alliance between an imperial state and a cohesive ethno-national bloc in 1921, and subsequently consolidated by state building in Ireland, and by the growing significance of European state borders between the 1920s and the 1960s; (2) an analysis of how globalization and ethno-national division have interacted over the last 30 years to pose a major challenge to the 1921 border settlement; and (3) an assessment of how the recent Belfast Agreement (1998) has sought to utilize new opportunities afforded by globalization, including European integration, to underpin an accommodation between the two ethno-national groups and their conflicting territorial claims. The paper concludes by assessing how the Irish case illuminates the interactions between globalization and national conflict, and how these interactions are reshaping state borders. It considers the conditions under which the reconfiguration of state borders might help resolve or moderate national conflicts and the opposing territorial claims associated with them.", "author" : [ { "dropping-particle" : "", "family" : "Anderson", "given" : "James", "non-dropping-particle" : "", "parse-names" : false, "suffix" : "" }, { "dropping-particle" : "", "family" : "O'Dowd", "given" : "Liam", "non-dropping-particle" : "", "parse-names" : false, "suffix" : "" } ], "container-title" : "Regional Studies", "id" : "ITEM-1", "issue" : "7", "issued" : { "date-parts" : [ [ "1999", "10" ] ] }, "note" : "Reg Stud Reg Stud\nISI:000083100700008; 245HL; Times Cited:12; Cited References Count:55", "page" : "681-696", "title" : "Contested Borders: Globalization and Ethnonational Conflict in Ireland", "type" : "article-journal", "volume" : "33" }, "uris" : [ "http://www.mendeley.com/documents/?uuid=59fa70b7-cc9a-408c-9e78-7c8dd246c6c3" ] } ], "mendeley" : { "formattedCitation" : "(Anderson &amp; O\u2019Dowd, 1999)", "plainTextFormattedCitation" : "(Anderson &amp; O\u2019Dowd, 1999)", "previouslyFormattedCitation" : "(Anderson &amp; O\u2019Dowd, 1999)" }, "properties" : { "noteIndex" : 0 }, "schema" : "https://github.com/citation-style-language/schema/raw/master/csl-citation.json" }</w:instrText>
      </w:r>
      <w:r w:rsidR="00EF2178" w:rsidRPr="000B02C5">
        <w:fldChar w:fldCharType="separate"/>
      </w:r>
      <w:r w:rsidR="00EF2178" w:rsidRPr="000B02C5">
        <w:rPr>
          <w:noProof/>
        </w:rPr>
        <w:t>(Anderson &amp; O’Dowd, 1999)</w:t>
      </w:r>
      <w:r w:rsidR="00EF2178" w:rsidRPr="000B02C5">
        <w:fldChar w:fldCharType="end"/>
      </w:r>
      <w:r w:rsidR="00EF2178" w:rsidRPr="000B02C5">
        <w:t xml:space="preserve"> EU Peace Programmes for Northern Ireland and the Border Counties began in 1995 with the Special Support Programme for Peace and Reconciliation (Peace I) which provided €500 million in structural funds to the region, supplemented with an additional €167 from government; </w:t>
      </w:r>
      <w:r w:rsidR="00EF2178" w:rsidRPr="000B02C5">
        <w:lastRenderedPageBreak/>
        <w:t>followed by the Programme for Peace and Reconciliation (Peace II), which provided €531million via the EU and an additional €304 from national governments between 2000 and 2004.</w:t>
      </w:r>
      <w:r w:rsidR="00EF2178" w:rsidRPr="000B02C5">
        <w:fldChar w:fldCharType="begin" w:fldLock="1"/>
      </w:r>
      <w:r w:rsidR="00EF2178" w:rsidRPr="000B02C5">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"(Buchanan, 2008)", "plainTextFormattedCitation" : "(Buchanan, 2008)", "previouslyFormattedCitation" : "(Buchanan, 2008)" }, "properties" : { "noteIndex" : 0 }, "schema" : "https://github.com/citation-style-language/schema/raw/master/csl-citation.json" }</w:instrText>
      </w:r>
      <w:r w:rsidR="00EF2178" w:rsidRPr="000B02C5">
        <w:fldChar w:fldCharType="separate"/>
      </w:r>
      <w:r w:rsidR="00EF2178" w:rsidRPr="000B02C5">
        <w:rPr>
          <w:noProof/>
        </w:rPr>
        <w:t>(Buchanan, 2008)</w:t>
      </w:r>
      <w:r w:rsidR="00EF2178" w:rsidRPr="000B02C5">
        <w:fldChar w:fldCharType="end"/>
      </w:r>
      <w:r w:rsidR="00EF2178" w:rsidRPr="000B02C5">
        <w:t xml:space="preserve">  </w:t>
      </w:r>
      <w:r w:rsidR="008D1A01" w:rsidRPr="000B02C5">
        <w:t xml:space="preserve">The third phase of the EU programme for Peace and Reconciliation in Northern Ireland took place over the years 2007 to 2013. </w:t>
      </w:r>
      <w:r w:rsidR="008D1A01" w:rsidRPr="000B02C5">
        <w:fldChar w:fldCharType="begin" w:fldLock="1"/>
      </w:r>
      <w:r w:rsidR="008D1A01" w:rsidRPr="000B02C5">
        <w:instrText>ADDIN CSL_CITATION { "citationItems" : [ { "id" : "ITEM-1", "itemData" : { "DOI" : "10.1093/cdj/bss054", "ISSN" : "0010-3802", "PMID" : "909", "abstract" : "Protracted ethnopolitical conflicts often emanate from structural violence, and from the vulnerability and marginalization of sections of a community. During the Troubles, Northern Ireland and the Border areas were characterized by an intractable conflict between Nationalists and Unionists. External economic assistance could be a key peacebuilding intervention in facilitating cross-community contacts and reconciliation, thereby addressing historical injustices in Northern Ireland by promoting justice, equality, and dignity. The European Union (EU) Programme for Peace and Reconciliation in Northern Ireland and the Border Region of Ireland, 2007-2013 (EU Peace III) is aimed at promoting reconciliation and in facilitating progress towards the building of a peaceful and stable society. This study examines the perceptions of 120 community group leaders, and community development officers in Derry and the Border Counties about the impact of the International Fund for Ireland (IFI) and the EU Peace III Fund in encouraging cross-community contact and reconciliation between the Nationalist and Unionist communities. While the IFI and the Peace III Fund have successfully promoted cross-community contact and reconciliation in Northern Ireland and the Border Area, this study indicates that both funders bureaucracy hinders sustainable community development. This study recommends the need to decentralize community peace projects to facilitate community ownership and their sustainability.", "author" : [ { "dropping-particle" : "", "family" : "Karari", "given" : "P", "non-dropping-particle" : "", "parse-names" : false, "suffix" : "" }, { "dropping-particle" : "", "family" : "Byrne", "given" : "S", "non-dropping-particle" : "", "parse-names" : false, "suffix" : "" }, { "dropping-particle" : "", "family" : "Skarlato", "given" : "O", "non-dropping-particle" : "", "parse-names" : false, "suffix" : "" }, { "dropping-particle" : "", "family" : "Ahmed", "given" : "K", "non-dropping-particle" : "", "parse-names" : false, "suffix" : "" }, { "dropping-particle" : "", "family" : "Hyde", "given" : "J M", "non-dropping-particle" : "", "parse-names" : false, "suffix" : "" } ], "container-title" : "Community Development Journal", "id" : "ITEM-1", "issue" : "4", "issued" : { "date-parts" : [ [ "2013", "10", "1" ] ] }, "note" : "Community Dev J Community Dev J\nISI:000325487200007; 232IO; Times Cited:2; Cited References Count:47", "page" : "587-604", "title" : "The role of external economic assistance in nurturing cross-community contact and reconciliation in Northern Ireland and the Border Counties", "type" : "article-journal", "volume" : "48" }, "uris" : [ "http://www.mendeley.com/documents/?uuid=52800283-631a-4b4c-8cd3-17bd4564b8ac" ] } ], "mendeley" : { "formattedCitation" : "(Karari, Byrne, Skarlato, Ahmed, &amp; Hyde, 2013)", "plainTextFormattedCitation" : "(Karari, Byrne, Skarlato, Ahmed, &amp; Hyde, 2013)", "previouslyFormattedCitation" : "(Karari, Byrne, Skarlato, Ahmed, &amp; Hyde, 2013)" }, "properties" : { "noteIndex" : 0 }, "schema" : "https://github.com/citation-style-language/schema/raw/master/csl-citation.json" }</w:instrText>
      </w:r>
      <w:r w:rsidR="008D1A01" w:rsidRPr="000B02C5">
        <w:fldChar w:fldCharType="separate"/>
      </w:r>
      <w:r w:rsidR="008D1A01" w:rsidRPr="000B02C5">
        <w:rPr>
          <w:noProof/>
        </w:rPr>
        <w:t>(Karari, Byrne, Skarlato, Ahmed, &amp; Hyde, 2013)</w:t>
      </w:r>
      <w:r w:rsidR="008D1A01" w:rsidRPr="000B02C5">
        <w:fldChar w:fldCharType="end"/>
      </w:r>
      <w:r w:rsidR="00146D0F">
        <w:t xml:space="preserve"> Whereas the GFA focused on building peace by addressing the leaders of political factions, EU-led initiatives focused on economic investment and to greater community engagement as a means of building more lasting stability in Northern Ireland and the Irish border. The UK’s departure places the future of further initiatives in doubt, though the Irish border remains a key priority for EU-UK Brexit negotiations.</w:t>
      </w:r>
    </w:p>
    <w:p w14:paraId="66C18D91" w14:textId="2FEE031C" w:rsidR="00C920BF" w:rsidRDefault="00146D0F" w:rsidP="000B02C5">
      <w:pPr>
        <w:spacing w:line="480" w:lineRule="auto"/>
      </w:pPr>
      <w:r>
        <w:t xml:space="preserve">At the time of writing (13 June 2017), in the days following the 2017 General Election, particular attention has been paid in the UK mainland to the socially conservative views of the DUP on issues including abortion, homosexuality, and gay marriage. Gay marriage is now legal in the Republic of Ireland, and Northern Ireland remains the only part of the UK in which abortion is illegal, suggesting that Northern Ireland possesses greater religious social conservatism than either ‘Catholic Ireland’ or ‘Protestant England’. </w:t>
      </w:r>
      <w:r w:rsidR="00757F5B">
        <w:t xml:space="preserve">Many aspects of this social conservatism, for those in Northern Ireland to possess social attitudes considered ‘regressive’ in neighbouring countries, may itself result from lingering sectarian tension, and a phenomenon in social psychology known as the ‘secondary transfer effect’ (STE), which posits that once two antagonistic groups develop more positive attitudes to one another, attitudes towards additional outgroups – such as ethnic minorities, homosexuals, and teenage parents – also tend to become more positive and accepting. </w:t>
      </w:r>
      <w:r w:rsidR="00757F5B" w:rsidRPr="000B02C5">
        <w:fldChar w:fldCharType="begin" w:fldLock="1"/>
      </w:r>
      <w:r w:rsidR="00757F5B">
        <w:instrText>ADDIN CSL_CITATION { "citationItems" : [ { "id" : "ITEM-1", "itemData" : { "DOI" : "10.1037/a0018553", "ISSN" : "1939-1315", "PMID" : "20658844", "abstract" : "Although intergroup contact is one of the most prominent interventions to reduce prejudice, the generalization of contact effects is still a contentious issue. This research further examined the rarely studied secondary transfer effect (STE; Pettigrew, 2009), by which contact with a primary outgroup reduces prejudice toward secondary groups that are not directly involved in the contact. Across 3 cross-sectional studies conducted in Cyprus (N = 1,653), Northern Ireland (N = 1,973), and Texas (N = 275) and 1 longitudinal study conducted in Northern Ireland (N = 411), the present research sought to systematically rule out alternative accounts of the STE and to investigate 2 potential mediating mechanisms (ingroup reappraisal and attitude generalization). Results indicated that, consistent with the STE, contact with a primary outgroup predicts attitudes toward secondary outgroups, over and above contact with the secondary outgroup, socially desirable responding, and prior attitudes. Mediation analyses found strong evidence for attitude generalization but only limited evidence for ingroup reappraisal as an underlying process. Two out of 3 tests of a reverse model, where contact with the secondary outgroup predicts attitudes toward the primary outgroup, provide further evidence for an indirect effect through attitude generalization. Theoretical and practical implications of these results are discussed, and directions for future research are identified.", "author" : [ { "dropping-particle" : "", "family" : "Tausch", "given" : "Nicole", "non-dropping-particle" : "", "parse-names" : false, "suffix" : "" }, { "dropping-particle" : "", "family" : "Hewstone", "given" : "Miles", "non-dropping-particle" : "", "parse-names" : false, "suffix" : "" }, { "dropping-particle" : "", "family" : "Kenworthy", "given" : "Jared B", "non-dropping-particle" : "", "parse-names" : false, "suffix" : "" }, { "dropping-particle" : "", "family" : "Psaltis", "given" : "Charis", "non-dropping-particle" : "", "parse-names" : false, "suffix" : "" }, { "dropping-particle" : "", "family" : "Schmid", "given" : "Katharina", "non-dropping-particle" : "", "parse-names" : false, "suffix" : "" }, { "dropping-particle" : "", "family" : "Popan", "given" : "Jason R", "non-dropping-particle" : "", "parse-names" : false, "suffix" : "" }, { "dropping-particle" : "", "family" : "Cairns", "given" : "Ed", "non-dropping-particle" : "", "parse-names" : false, "suffix" : "" }, { "dropping-particle" : "", "family" : "Hughes", "given" : "Joanne", "non-dropping-particle" : "", "parse-names" : false, "suffix" : "" } ], "container-title" : "Journal of personality and social psychology", "id" : "ITEM-1", "issue" : "2", "issued" : { "date-parts" : [ [ "2010", "8" ] ] }, "note" : "J Pers Soc Psychol J Pers Soc Psychol\nISI:000280389200006; 631ZK; Times Cited:64; Cited References Count:98", "page" : "282-302", "title" : "Secondary transfer effects of intergroup contact: Alternative accounts and underlying processes.", "type" : "article-journal", "volume" : "99" }, "uris" : [ "http://www.mendeley.com/documents/?uuid=05a967bb-8c29-466a-ad9c-887eb04933d5" ] } ], "mendeley" : { "formattedCitation" : "(Tausch et al., 2010)", "plainTextFormattedCitation" : "(Tausch et al., 2010)", "previouslyFormattedCitation" : "(Tausch et al., 2010)" }, "properties" : { "noteIndex" : 0 }, "schema" : "https://github.com/citation-style-language/schema/raw/master/csl-citation.json" }</w:instrText>
      </w:r>
      <w:r w:rsidR="00757F5B" w:rsidRPr="000B02C5">
        <w:fldChar w:fldCharType="separate"/>
      </w:r>
      <w:r w:rsidR="00757F5B" w:rsidRPr="00C94CE9">
        <w:rPr>
          <w:noProof/>
        </w:rPr>
        <w:t>(Tausch et al., 2010)</w:t>
      </w:r>
      <w:r w:rsidR="00757F5B" w:rsidRPr="000B02C5">
        <w:fldChar w:fldCharType="end"/>
      </w:r>
      <w:r w:rsidR="00757F5B" w:rsidRPr="000B02C5">
        <w:t xml:space="preserve"> </w:t>
      </w:r>
      <w:r w:rsidR="00757F5B">
        <w:t xml:space="preserve">Without mutual acceptance by Unionists’ and </w:t>
      </w:r>
      <w:r w:rsidR="00A30D59">
        <w:t>Nationalists</w:t>
      </w:r>
      <w:r w:rsidR="00757F5B">
        <w:t>’ of each group’s primary outgroup (</w:t>
      </w:r>
      <w:r w:rsidR="00A30D59">
        <w:t xml:space="preserve">Nationalists </w:t>
      </w:r>
      <w:r w:rsidR="00757F5B">
        <w:t>and Unionists respectively), acceptance and tolerance towards other outgroups may continue to lag behind those in neighbouring countries</w:t>
      </w:r>
      <w:r w:rsidR="00A30D59">
        <w:t xml:space="preserve">. </w:t>
      </w:r>
      <w:r w:rsidR="00A30D59">
        <w:fldChar w:fldCharType="begin" w:fldLock="1"/>
      </w:r>
      <w:r w:rsidR="00A30D59">
        <w:instrText>ADDIN CSL_CITATION { "citationItems" : [ { "id" : "ITEM-1", "itemData" : { "PMID" : "1962", "abstract" : "In the summer of 2008, the Westminster MP and Member of the Northern Ireland Assembly, Iris Robinson, made homophobic statements during interviews with the media. Robinson's anti-gay remarks highlight the continuing challenges for sexual politics in Northern Ireland. However, conflict transformation literature in the region has elided issues of sexuality. This article, drawing on elements of Judith Butler's analysis of injurious speech, assesses the issues that Robinson's homophobic speech highlights in relation to sexual equality in Northern Ireland. It concludes by assessing the role of conflict transformation literature in charting sexual politics in the region.", "author" : [ { "dropping-particle" : "", "family" : "Ashe", "given" : "F", "non-dropping-particle" : "", "parse-names" : false, "suffix" : "" } ], "container-title" : "Politics", "id" : "ITEM-1", "issue" : "1", "issued" : { "date-parts" : [ [ "2009" ] ] }, "note" : "Politics-Oxford Politics-Oxford\nISI:000208124800003; V20Fb; Times Cited:6; Cited References Count:26", "page" : "20-27", "title" : "Iris Robinson's Excitable Speech: Sexuality and Conflict Transformation in Northern Ireland", "type" : "article-journal", "volume" : "29" }, "uris" : [ "http://www.mendeley.com/documents/?uuid=b7af78a2-c9e8-42e3-865a-e157ce3ade10" ] }, { "id" : "ITEM-2", "itemData" : { "DOI" : "10.1111/bjso.12045", "ISSN" : "2044-8309", "PMID" : "23879325", "abstract" : "Secondary transfer effects (STEs) of intergroup contact refer to the generalization of contact effects from a primary encountered outgroup to attitudes towards secondary outgroups (Pettigrew, 2009). Using two large, cross-sectional data sets from Germany (N = 1,381) and Northern Ireland (N = 1,948), this article examined the extent to which STEs of intergroup contact on attitudes towards a range of secondary outgroups occur via a previously unexplored psychological construct, social identity complexity (operationalized as similarity complexity and overlap complexity). Study 1 found primary outgroup contact to be associated with greater similarity complexity, but no indirect effects on secondary outgroup attitudes via complexity emerged. Study 2, however, revealed indirect positive relationships between primary outgroup contact and secondary outgroup attitudes via increased similarity complexity and overlap complexity. These relationships were obtained while controlling for two previously tested mediating mechanisms, attitude generalization (operationalized as primary outgroup attitude) and deprovincialization (operationalized as ingroup attitude and identification). We discuss the theoretical implications of these findings and the contribution of social identity complexity to understanding processes underlying STEs of contact.", "author" : [ { "dropping-particle" : "", "family" : "Schmid", "given" : "Katharina", "non-dropping-particle" : "", "parse-names" : false, "suffix" : "" }, { "dropping-particle" : "", "family" : "Hewstone", "given" : "Miles", "non-dropping-particle" : "", "parse-names" : false, "suffix" : "" }, { "dropping-particle" : "", "family" : "Tausch", "given" : "Nicole", "non-dropping-particle" : "", "parse-names" : false, "suffix" : "" } ], "container-title" : "The British journal of social psychology", "id" : "ITEM-2", "issue" : "3", "issued" : { "date-parts" : [ [ "2014", "9" ] ] }, "note" : "Brit J Soc Psychol Brit J Soc Psychol\nISI:000342987800003; Aq7Jb; Times Cited:2; Cited References Count:36", "page" : "443-62", "title" : "Secondary transfer effects of intergroup contact via social identity complexity.", "type" : "article-journal", "volume" : "53" }, "uris" : [ "http://www.mendeley.com/documents/?uuid=f3b55b93-3b2b-46c0-a0b8-b73569e4991f" ] } ], "mendeley" : { "formattedCitation" : "(Ashe, 2009; Schmid, Hewstone, &amp; Tausch, 2014)", "plainTextFormattedCitation" : "(Ashe, 2009; Schmid, Hewstone, &amp; Tausch, 2014)", "previouslyFormattedCitation" : "(Ashe, 2009; Schmid, Hewstone, &amp; Tausch, 2014)" }, "properties" : { "noteIndex" : 0 }, "schema" : "https://github.com/citation-style-language/schema/raw/master/csl-citation.json" }</w:instrText>
      </w:r>
      <w:r w:rsidR="00A30D59">
        <w:fldChar w:fldCharType="separate"/>
      </w:r>
      <w:r w:rsidR="00A30D59" w:rsidRPr="00A30D59">
        <w:rPr>
          <w:noProof/>
        </w:rPr>
        <w:t>(Ashe, 2009; Schmid, Hewstone, &amp; Tausch, 2014)</w:t>
      </w:r>
      <w:r w:rsidR="00A30D59">
        <w:fldChar w:fldCharType="end"/>
      </w:r>
      <w:r w:rsidR="00A30D59" w:rsidRPr="000B02C5">
        <w:t xml:space="preserve">  </w:t>
      </w:r>
      <w:r w:rsidR="00757F5B">
        <w:t xml:space="preserve">A barometer for latent sectarianism within Northern Ireland, and thus the degree to which UK-led political actions relating to Brexit could initiate a new wave of decades-long conflict, may therefore be attitudes and behaviours directed towards people who are neither Unionist nor Catholic, neither Loyalist nor </w:t>
      </w:r>
      <w:r w:rsidR="00A30D59">
        <w:t xml:space="preserve">Nationalist, but simply different. </w:t>
      </w:r>
    </w:p>
    <w:p w14:paraId="6C70904D" w14:textId="77777777" w:rsidR="00F119C2" w:rsidRPr="001D36B8" w:rsidRDefault="00F119C2" w:rsidP="000B02C5">
      <w:pPr>
        <w:spacing w:line="480" w:lineRule="auto"/>
        <w:rPr>
          <w:color w:val="FF0000"/>
        </w:rPr>
        <w:sectPr w:rsidR="00F119C2" w:rsidRPr="001D36B8" w:rsidSect="000B02C5">
          <w:pgSz w:w="11906" w:h="16838"/>
          <w:pgMar w:top="1440" w:right="1440" w:bottom="1440" w:left="1440" w:header="708" w:footer="708" w:gutter="0"/>
          <w:lnNumType w:countBy="1"/>
          <w:cols w:space="708"/>
          <w:docGrid w:linePitch="360"/>
        </w:sectPr>
      </w:pPr>
    </w:p>
    <w:p w14:paraId="0F2785EC" w14:textId="14C7ACB8" w:rsidR="00F1537E" w:rsidRDefault="00F1537E" w:rsidP="000B02C5">
      <w:pPr>
        <w:pStyle w:val="Heading1"/>
        <w:spacing w:line="480" w:lineRule="auto"/>
      </w:pPr>
      <w:r w:rsidRPr="00A30D59">
        <w:rPr>
          <w:color w:val="auto"/>
        </w:rPr>
        <w:lastRenderedPageBreak/>
        <w:t xml:space="preserve">References </w:t>
      </w:r>
      <w:r w:rsidR="00023023">
        <w:br/>
      </w:r>
    </w:p>
    <w:p w14:paraId="4F80923E" w14:textId="4C4BB87C" w:rsidR="00044023" w:rsidRPr="00044023" w:rsidRDefault="00023023" w:rsidP="00044023">
      <w:pPr>
        <w:widowControl w:val="0"/>
        <w:autoSpaceDE w:val="0"/>
        <w:autoSpaceDN w:val="0"/>
        <w:adjustRightInd w:val="0"/>
        <w:spacing w:line="48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044023" w:rsidRPr="00044023">
        <w:rPr>
          <w:rFonts w:ascii="Calibri" w:hAnsi="Calibri" w:cs="Times New Roman"/>
          <w:noProof/>
          <w:szCs w:val="24"/>
        </w:rPr>
        <w:t xml:space="preserve">Akaike, H. (1974). A new look at the statistical model identification. </w:t>
      </w:r>
      <w:r w:rsidR="00044023" w:rsidRPr="00044023">
        <w:rPr>
          <w:rFonts w:ascii="Calibri" w:hAnsi="Calibri" w:cs="Times New Roman"/>
          <w:i/>
          <w:iCs/>
          <w:noProof/>
          <w:szCs w:val="24"/>
        </w:rPr>
        <w:t>IEEE Transactions on Automatic Control</w:t>
      </w:r>
      <w:r w:rsidR="00044023" w:rsidRPr="00044023">
        <w:rPr>
          <w:rFonts w:ascii="Calibri" w:hAnsi="Calibri" w:cs="Times New Roman"/>
          <w:noProof/>
          <w:szCs w:val="24"/>
        </w:rPr>
        <w:t xml:space="preserve">, </w:t>
      </w:r>
      <w:r w:rsidR="00044023" w:rsidRPr="00044023">
        <w:rPr>
          <w:rFonts w:ascii="Calibri" w:hAnsi="Calibri" w:cs="Times New Roman"/>
          <w:i/>
          <w:iCs/>
          <w:noProof/>
          <w:szCs w:val="24"/>
        </w:rPr>
        <w:t>19</w:t>
      </w:r>
      <w:r w:rsidR="00044023" w:rsidRPr="00044023">
        <w:rPr>
          <w:rFonts w:ascii="Calibri" w:hAnsi="Calibri" w:cs="Times New Roman"/>
          <w:noProof/>
          <w:szCs w:val="24"/>
        </w:rPr>
        <w:t>(6), 716–723. http://doi.org/10.1109/TAC.1974.1100705</w:t>
      </w:r>
    </w:p>
    <w:p w14:paraId="12772BAB"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Anderson, J. (2008). Partition, consociation, border-crossing: some lessons from the national conflict in Ireland/Northern Ireland. </w:t>
      </w:r>
      <w:r w:rsidRPr="00044023">
        <w:rPr>
          <w:rFonts w:ascii="Calibri" w:hAnsi="Calibri" w:cs="Times New Roman"/>
          <w:i/>
          <w:iCs/>
          <w:noProof/>
          <w:szCs w:val="24"/>
        </w:rPr>
        <w:t>Nations and Nationalism</w:t>
      </w:r>
      <w:r w:rsidRPr="00044023">
        <w:rPr>
          <w:rFonts w:ascii="Calibri" w:hAnsi="Calibri" w:cs="Times New Roman"/>
          <w:noProof/>
          <w:szCs w:val="24"/>
        </w:rPr>
        <w:t xml:space="preserve">, </w:t>
      </w:r>
      <w:r w:rsidRPr="00044023">
        <w:rPr>
          <w:rFonts w:ascii="Calibri" w:hAnsi="Calibri" w:cs="Times New Roman"/>
          <w:i/>
          <w:iCs/>
          <w:noProof/>
          <w:szCs w:val="24"/>
        </w:rPr>
        <w:t>14</w:t>
      </w:r>
      <w:r w:rsidRPr="00044023">
        <w:rPr>
          <w:rFonts w:ascii="Calibri" w:hAnsi="Calibri" w:cs="Times New Roman"/>
          <w:noProof/>
          <w:szCs w:val="24"/>
        </w:rPr>
        <w:t>(1), 85–104. http://doi.org/10.1111/j.1469-8129.2008.00340.x</w:t>
      </w:r>
    </w:p>
    <w:p w14:paraId="00D2FC1E"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Anderson, J., &amp; O’Dowd, L. (1999). Contested Borders: Globalization and Ethnonational Conflict in Ireland. </w:t>
      </w:r>
      <w:r w:rsidRPr="00044023">
        <w:rPr>
          <w:rFonts w:ascii="Calibri" w:hAnsi="Calibri" w:cs="Times New Roman"/>
          <w:i/>
          <w:iCs/>
          <w:noProof/>
          <w:szCs w:val="24"/>
        </w:rPr>
        <w:t>Regional Studies</w:t>
      </w:r>
      <w:r w:rsidRPr="00044023">
        <w:rPr>
          <w:rFonts w:ascii="Calibri" w:hAnsi="Calibri" w:cs="Times New Roman"/>
          <w:noProof/>
          <w:szCs w:val="24"/>
        </w:rPr>
        <w:t xml:space="preserve">, </w:t>
      </w:r>
      <w:r w:rsidRPr="00044023">
        <w:rPr>
          <w:rFonts w:ascii="Calibri" w:hAnsi="Calibri" w:cs="Times New Roman"/>
          <w:i/>
          <w:iCs/>
          <w:noProof/>
          <w:szCs w:val="24"/>
        </w:rPr>
        <w:t>33</w:t>
      </w:r>
      <w:r w:rsidRPr="00044023">
        <w:rPr>
          <w:rFonts w:ascii="Calibri" w:hAnsi="Calibri" w:cs="Times New Roman"/>
          <w:noProof/>
          <w:szCs w:val="24"/>
        </w:rPr>
        <w:t>(7), 681–696. http://doi.org/10.1080/00343409950078710</w:t>
      </w:r>
    </w:p>
    <w:p w14:paraId="391EB8D5"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Anderson, J., &amp; O’Dowd, L. (2007). Imperialism and nationalism: The Home Rule struggle and border creation in Ireland, 1885–1925. </w:t>
      </w:r>
      <w:r w:rsidRPr="00044023">
        <w:rPr>
          <w:rFonts w:ascii="Calibri" w:hAnsi="Calibri" w:cs="Times New Roman"/>
          <w:i/>
          <w:iCs/>
          <w:noProof/>
          <w:szCs w:val="24"/>
        </w:rPr>
        <w:t>Political Geography</w:t>
      </w:r>
      <w:r w:rsidRPr="00044023">
        <w:rPr>
          <w:rFonts w:ascii="Calibri" w:hAnsi="Calibri" w:cs="Times New Roman"/>
          <w:noProof/>
          <w:szCs w:val="24"/>
        </w:rPr>
        <w:t xml:space="preserve">, </w:t>
      </w:r>
      <w:r w:rsidRPr="00044023">
        <w:rPr>
          <w:rFonts w:ascii="Calibri" w:hAnsi="Calibri" w:cs="Times New Roman"/>
          <w:i/>
          <w:iCs/>
          <w:noProof/>
          <w:szCs w:val="24"/>
        </w:rPr>
        <w:t>26</w:t>
      </w:r>
      <w:r w:rsidRPr="00044023">
        <w:rPr>
          <w:rFonts w:ascii="Calibri" w:hAnsi="Calibri" w:cs="Times New Roman"/>
          <w:noProof/>
          <w:szCs w:val="24"/>
        </w:rPr>
        <w:t>(8), 934–950. http://doi.org/10.1016/j.polgeo.2007.10.001</w:t>
      </w:r>
    </w:p>
    <w:p w14:paraId="6AA5841E"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Ashe, F. (2009). Iris Robinson’s Excitable Speech: Sexuality and Conflict Transformation in Northern Ireland. </w:t>
      </w:r>
      <w:r w:rsidRPr="00044023">
        <w:rPr>
          <w:rFonts w:ascii="Calibri" w:hAnsi="Calibri" w:cs="Times New Roman"/>
          <w:i/>
          <w:iCs/>
          <w:noProof/>
          <w:szCs w:val="24"/>
        </w:rPr>
        <w:t>Politics</w:t>
      </w:r>
      <w:r w:rsidRPr="00044023">
        <w:rPr>
          <w:rFonts w:ascii="Calibri" w:hAnsi="Calibri" w:cs="Times New Roman"/>
          <w:noProof/>
          <w:szCs w:val="24"/>
        </w:rPr>
        <w:t xml:space="preserve">, </w:t>
      </w:r>
      <w:r w:rsidRPr="00044023">
        <w:rPr>
          <w:rFonts w:ascii="Calibri" w:hAnsi="Calibri" w:cs="Times New Roman"/>
          <w:i/>
          <w:iCs/>
          <w:noProof/>
          <w:szCs w:val="24"/>
        </w:rPr>
        <w:t>29</w:t>
      </w:r>
      <w:r w:rsidRPr="00044023">
        <w:rPr>
          <w:rFonts w:ascii="Calibri" w:hAnsi="Calibri" w:cs="Times New Roman"/>
          <w:noProof/>
          <w:szCs w:val="24"/>
        </w:rPr>
        <w:t>(1), 20–27.</w:t>
      </w:r>
    </w:p>
    <w:p w14:paraId="6ACA55CD"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Buchanan, S. (2008). Transforming Conflict in Northern Ireland and the Border Counties: Some Lessons from the Peace Programmes on Valuing Participative Democracy. </w:t>
      </w:r>
      <w:r w:rsidRPr="00044023">
        <w:rPr>
          <w:rFonts w:ascii="Calibri" w:hAnsi="Calibri" w:cs="Times New Roman"/>
          <w:i/>
          <w:iCs/>
          <w:noProof/>
          <w:szCs w:val="24"/>
        </w:rPr>
        <w:t>Irish Political Studies</w:t>
      </w:r>
      <w:r w:rsidRPr="00044023">
        <w:rPr>
          <w:rFonts w:ascii="Calibri" w:hAnsi="Calibri" w:cs="Times New Roman"/>
          <w:noProof/>
          <w:szCs w:val="24"/>
        </w:rPr>
        <w:t xml:space="preserve">, </w:t>
      </w:r>
      <w:r w:rsidRPr="00044023">
        <w:rPr>
          <w:rFonts w:ascii="Calibri" w:hAnsi="Calibri" w:cs="Times New Roman"/>
          <w:i/>
          <w:iCs/>
          <w:noProof/>
          <w:szCs w:val="24"/>
        </w:rPr>
        <w:t>23</w:t>
      </w:r>
      <w:r w:rsidRPr="00044023">
        <w:rPr>
          <w:rFonts w:ascii="Calibri" w:hAnsi="Calibri" w:cs="Times New Roman"/>
          <w:noProof/>
          <w:szCs w:val="24"/>
        </w:rPr>
        <w:t>(3), 387–409. http://doi.org/10.1080/07907180802246719</w:t>
      </w:r>
    </w:p>
    <w:p w14:paraId="6F4A90AE"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Curran, P. S. (2001). Psychiatric implications of chronic civilian strife or war: Northern Ireland. </w:t>
      </w:r>
      <w:r w:rsidRPr="00044023">
        <w:rPr>
          <w:rFonts w:ascii="Calibri" w:hAnsi="Calibri" w:cs="Times New Roman"/>
          <w:i/>
          <w:iCs/>
          <w:noProof/>
          <w:szCs w:val="24"/>
        </w:rPr>
        <w:t>Advances in Psychiatric Treatment</w:t>
      </w:r>
      <w:r w:rsidRPr="00044023">
        <w:rPr>
          <w:rFonts w:ascii="Calibri" w:hAnsi="Calibri" w:cs="Times New Roman"/>
          <w:noProof/>
          <w:szCs w:val="24"/>
        </w:rPr>
        <w:t xml:space="preserve">, </w:t>
      </w:r>
      <w:r w:rsidRPr="00044023">
        <w:rPr>
          <w:rFonts w:ascii="Calibri" w:hAnsi="Calibri" w:cs="Times New Roman"/>
          <w:i/>
          <w:iCs/>
          <w:noProof/>
          <w:szCs w:val="24"/>
        </w:rPr>
        <w:t>7</w:t>
      </w:r>
      <w:r w:rsidRPr="00044023">
        <w:rPr>
          <w:rFonts w:ascii="Calibri" w:hAnsi="Calibri" w:cs="Times New Roman"/>
          <w:noProof/>
          <w:szCs w:val="24"/>
        </w:rPr>
        <w:t>(1), 73–80. http://doi.org/10.1192/apt.7.1.73</w:t>
      </w:r>
    </w:p>
    <w:p w14:paraId="1A9D631E"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Durkheim, E. (1951). Suicide, a study in sociology. </w:t>
      </w:r>
      <w:r w:rsidRPr="00044023">
        <w:rPr>
          <w:rFonts w:ascii="Calibri" w:hAnsi="Calibri" w:cs="Times New Roman"/>
          <w:i/>
          <w:iCs/>
          <w:noProof/>
          <w:szCs w:val="24"/>
        </w:rPr>
        <w:t>New York Free Press</w:t>
      </w:r>
      <w:r w:rsidRPr="00044023">
        <w:rPr>
          <w:rFonts w:ascii="Calibri" w:hAnsi="Calibri" w:cs="Times New Roman"/>
          <w:noProof/>
          <w:szCs w:val="24"/>
        </w:rPr>
        <w:t xml:space="preserve">, </w:t>
      </w:r>
      <w:r w:rsidRPr="00044023">
        <w:rPr>
          <w:rFonts w:ascii="Calibri" w:hAnsi="Calibri" w:cs="Times New Roman"/>
          <w:i/>
          <w:iCs/>
          <w:noProof/>
          <w:szCs w:val="24"/>
        </w:rPr>
        <w:t>3</w:t>
      </w:r>
      <w:r w:rsidRPr="00044023">
        <w:rPr>
          <w:rFonts w:ascii="Calibri" w:hAnsi="Calibri" w:cs="Times New Roman"/>
          <w:noProof/>
          <w:szCs w:val="24"/>
        </w:rPr>
        <w:t>, 405. http://doi.org/10.2307/2088294</w:t>
      </w:r>
    </w:p>
    <w:p w14:paraId="22F02BC6"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Findley, M. G. (2008). Agents and conflict: Adaptation and the dynamics of war. </w:t>
      </w:r>
      <w:r w:rsidRPr="00044023">
        <w:rPr>
          <w:rFonts w:ascii="Calibri" w:hAnsi="Calibri" w:cs="Times New Roman"/>
          <w:i/>
          <w:iCs/>
          <w:noProof/>
          <w:szCs w:val="24"/>
        </w:rPr>
        <w:t>Complexity</w:t>
      </w:r>
      <w:r w:rsidRPr="00044023">
        <w:rPr>
          <w:rFonts w:ascii="Calibri" w:hAnsi="Calibri" w:cs="Times New Roman"/>
          <w:noProof/>
          <w:szCs w:val="24"/>
        </w:rPr>
        <w:t xml:space="preserve">, </w:t>
      </w:r>
      <w:r w:rsidRPr="00044023">
        <w:rPr>
          <w:rFonts w:ascii="Calibri" w:hAnsi="Calibri" w:cs="Times New Roman"/>
          <w:i/>
          <w:iCs/>
          <w:noProof/>
          <w:szCs w:val="24"/>
        </w:rPr>
        <w:t>14</w:t>
      </w:r>
      <w:r w:rsidRPr="00044023">
        <w:rPr>
          <w:rFonts w:ascii="Calibri" w:hAnsi="Calibri" w:cs="Times New Roman"/>
          <w:noProof/>
          <w:szCs w:val="24"/>
        </w:rPr>
        <w:t>(1), 22–35. http://doi.org/10.1002/cplx.20232</w:t>
      </w:r>
    </w:p>
    <w:p w14:paraId="72CC1568"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lastRenderedPageBreak/>
        <w:t xml:space="preserve">Gerike, R., de Nazelle, A., Nieuwenhuijsen, M., Panis, L. I., Anaya, E., Avila-Palencia, I., … Götschi, T. (2016). Physical Activity through Sustainable Transport Approaches (PASTA): a study protocol for a multicentre project. </w:t>
      </w:r>
      <w:r w:rsidRPr="00044023">
        <w:rPr>
          <w:rFonts w:ascii="Calibri" w:hAnsi="Calibri" w:cs="Times New Roman"/>
          <w:i/>
          <w:iCs/>
          <w:noProof/>
          <w:szCs w:val="24"/>
        </w:rPr>
        <w:t>BMJ Open</w:t>
      </w:r>
      <w:r w:rsidRPr="00044023">
        <w:rPr>
          <w:rFonts w:ascii="Calibri" w:hAnsi="Calibri" w:cs="Times New Roman"/>
          <w:noProof/>
          <w:szCs w:val="24"/>
        </w:rPr>
        <w:t xml:space="preserve">, </w:t>
      </w:r>
      <w:r w:rsidRPr="00044023">
        <w:rPr>
          <w:rFonts w:ascii="Calibri" w:hAnsi="Calibri" w:cs="Times New Roman"/>
          <w:i/>
          <w:iCs/>
          <w:noProof/>
          <w:szCs w:val="24"/>
        </w:rPr>
        <w:t>6</w:t>
      </w:r>
      <w:r w:rsidRPr="00044023">
        <w:rPr>
          <w:rFonts w:ascii="Calibri" w:hAnsi="Calibri" w:cs="Times New Roman"/>
          <w:noProof/>
          <w:szCs w:val="24"/>
        </w:rPr>
        <w:t>(1), e009924. http://doi.org/10.1136/bmjopen-2015-009924</w:t>
      </w:r>
    </w:p>
    <w:p w14:paraId="1A5E25C1"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Goddard, S. E. (2012). Brokering Peace: Networks, Legitimacy, and the Northern Ireland Peace Process. </w:t>
      </w:r>
      <w:r w:rsidRPr="00044023">
        <w:rPr>
          <w:rFonts w:ascii="Calibri" w:hAnsi="Calibri" w:cs="Times New Roman"/>
          <w:i/>
          <w:iCs/>
          <w:noProof/>
          <w:szCs w:val="24"/>
        </w:rPr>
        <w:t>International Studies Quarterly</w:t>
      </w:r>
      <w:r w:rsidRPr="00044023">
        <w:rPr>
          <w:rFonts w:ascii="Calibri" w:hAnsi="Calibri" w:cs="Times New Roman"/>
          <w:noProof/>
          <w:szCs w:val="24"/>
        </w:rPr>
        <w:t xml:space="preserve">, </w:t>
      </w:r>
      <w:r w:rsidRPr="00044023">
        <w:rPr>
          <w:rFonts w:ascii="Calibri" w:hAnsi="Calibri" w:cs="Times New Roman"/>
          <w:i/>
          <w:iCs/>
          <w:noProof/>
          <w:szCs w:val="24"/>
        </w:rPr>
        <w:t>56</w:t>
      </w:r>
      <w:r w:rsidRPr="00044023">
        <w:rPr>
          <w:rFonts w:ascii="Calibri" w:hAnsi="Calibri" w:cs="Times New Roman"/>
          <w:noProof/>
          <w:szCs w:val="24"/>
        </w:rPr>
        <w:t>(3), 501–515. http://doi.org/10.1111/j.1468-2478.2012.00737.x</w:t>
      </w:r>
    </w:p>
    <w:p w14:paraId="28DB110A"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Karari, P., Byrne, S., Skarlato, O., Ahmed, K., &amp; Hyde, J. M. (2013). The role of external economic assistance in nurturing cross-community contact and reconciliation in Northern Ireland and the Border Counties. </w:t>
      </w:r>
      <w:r w:rsidRPr="00044023">
        <w:rPr>
          <w:rFonts w:ascii="Calibri" w:hAnsi="Calibri" w:cs="Times New Roman"/>
          <w:i/>
          <w:iCs/>
          <w:noProof/>
          <w:szCs w:val="24"/>
        </w:rPr>
        <w:t>Community Development Journal</w:t>
      </w:r>
      <w:r w:rsidRPr="00044023">
        <w:rPr>
          <w:rFonts w:ascii="Calibri" w:hAnsi="Calibri" w:cs="Times New Roman"/>
          <w:noProof/>
          <w:szCs w:val="24"/>
        </w:rPr>
        <w:t xml:space="preserve">, </w:t>
      </w:r>
      <w:r w:rsidRPr="00044023">
        <w:rPr>
          <w:rFonts w:ascii="Calibri" w:hAnsi="Calibri" w:cs="Times New Roman"/>
          <w:i/>
          <w:iCs/>
          <w:noProof/>
          <w:szCs w:val="24"/>
        </w:rPr>
        <w:t>48</w:t>
      </w:r>
      <w:r w:rsidRPr="00044023">
        <w:rPr>
          <w:rFonts w:ascii="Calibri" w:hAnsi="Calibri" w:cs="Times New Roman"/>
          <w:noProof/>
          <w:szCs w:val="24"/>
        </w:rPr>
        <w:t>(4), 587–604. http://doi.org/10.1093/cdj/bss054</w:t>
      </w:r>
    </w:p>
    <w:p w14:paraId="772981C0"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Leonard, M. (2004). Bonding and bridging social capital: Reflections from Belfast. </w:t>
      </w:r>
      <w:r w:rsidRPr="00044023">
        <w:rPr>
          <w:rFonts w:ascii="Calibri" w:hAnsi="Calibri" w:cs="Times New Roman"/>
          <w:i/>
          <w:iCs/>
          <w:noProof/>
          <w:szCs w:val="24"/>
        </w:rPr>
        <w:t>Sociology-the Journal of the British Sociological Association</w:t>
      </w:r>
      <w:r w:rsidRPr="00044023">
        <w:rPr>
          <w:rFonts w:ascii="Calibri" w:hAnsi="Calibri" w:cs="Times New Roman"/>
          <w:noProof/>
          <w:szCs w:val="24"/>
        </w:rPr>
        <w:t xml:space="preserve">, </w:t>
      </w:r>
      <w:r w:rsidRPr="00044023">
        <w:rPr>
          <w:rFonts w:ascii="Calibri" w:hAnsi="Calibri" w:cs="Times New Roman"/>
          <w:i/>
          <w:iCs/>
          <w:noProof/>
          <w:szCs w:val="24"/>
        </w:rPr>
        <w:t>38</w:t>
      </w:r>
      <w:r w:rsidRPr="00044023">
        <w:rPr>
          <w:rFonts w:ascii="Calibri" w:hAnsi="Calibri" w:cs="Times New Roman"/>
          <w:noProof/>
          <w:szCs w:val="24"/>
        </w:rPr>
        <w:t>(5), 927–944.</w:t>
      </w:r>
    </w:p>
    <w:p w14:paraId="0E6389C8"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Lester, D. (2002). The “troubles” in Northern Ireland and suicide. </w:t>
      </w:r>
      <w:r w:rsidRPr="00044023">
        <w:rPr>
          <w:rFonts w:ascii="Calibri" w:hAnsi="Calibri" w:cs="Times New Roman"/>
          <w:i/>
          <w:iCs/>
          <w:noProof/>
          <w:szCs w:val="24"/>
        </w:rPr>
        <w:t>Psychological Reports</w:t>
      </w:r>
      <w:r w:rsidRPr="00044023">
        <w:rPr>
          <w:rFonts w:ascii="Calibri" w:hAnsi="Calibri" w:cs="Times New Roman"/>
          <w:noProof/>
          <w:szCs w:val="24"/>
        </w:rPr>
        <w:t xml:space="preserve">, </w:t>
      </w:r>
      <w:r w:rsidRPr="00044023">
        <w:rPr>
          <w:rFonts w:ascii="Calibri" w:hAnsi="Calibri" w:cs="Times New Roman"/>
          <w:i/>
          <w:iCs/>
          <w:noProof/>
          <w:szCs w:val="24"/>
        </w:rPr>
        <w:t>90</w:t>
      </w:r>
      <w:r w:rsidRPr="00044023">
        <w:rPr>
          <w:rFonts w:ascii="Calibri" w:hAnsi="Calibri" w:cs="Times New Roman"/>
          <w:noProof/>
          <w:szCs w:val="24"/>
        </w:rPr>
        <w:t>(3), 722.</w:t>
      </w:r>
    </w:p>
    <w:p w14:paraId="1BA967D8"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McDowell, S. (2008). Selling Conflict Heritage through Tourism in Peacetime Northern Ireland: Transforming Conflict or Exacerbating Difference? </w:t>
      </w:r>
      <w:r w:rsidRPr="00044023">
        <w:rPr>
          <w:rFonts w:ascii="Calibri" w:hAnsi="Calibri" w:cs="Times New Roman"/>
          <w:i/>
          <w:iCs/>
          <w:noProof/>
          <w:szCs w:val="24"/>
        </w:rPr>
        <w:t>International Journal of Heritage Studies</w:t>
      </w:r>
      <w:r w:rsidRPr="00044023">
        <w:rPr>
          <w:rFonts w:ascii="Calibri" w:hAnsi="Calibri" w:cs="Times New Roman"/>
          <w:noProof/>
          <w:szCs w:val="24"/>
        </w:rPr>
        <w:t xml:space="preserve">, </w:t>
      </w:r>
      <w:r w:rsidRPr="00044023">
        <w:rPr>
          <w:rFonts w:ascii="Calibri" w:hAnsi="Calibri" w:cs="Times New Roman"/>
          <w:i/>
          <w:iCs/>
          <w:noProof/>
          <w:szCs w:val="24"/>
        </w:rPr>
        <w:t>14</w:t>
      </w:r>
      <w:r w:rsidRPr="00044023">
        <w:rPr>
          <w:rFonts w:ascii="Calibri" w:hAnsi="Calibri" w:cs="Times New Roman"/>
          <w:noProof/>
          <w:szCs w:val="24"/>
        </w:rPr>
        <w:t>(5), 405–421. http://doi.org/10.1080/13527250802284859</w:t>
      </w:r>
    </w:p>
    <w:p w14:paraId="4D01870F"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McGlynn, C., Tonge, J., &amp; McAuley, J. (2014). The Party Politics of Post-Devolution Identity in Northern Ireland. </w:t>
      </w:r>
      <w:r w:rsidRPr="00044023">
        <w:rPr>
          <w:rFonts w:ascii="Calibri" w:hAnsi="Calibri" w:cs="Times New Roman"/>
          <w:i/>
          <w:iCs/>
          <w:noProof/>
          <w:szCs w:val="24"/>
        </w:rPr>
        <w:t>The British Journal of Politics and International Relations</w:t>
      </w:r>
      <w:r w:rsidRPr="00044023">
        <w:rPr>
          <w:rFonts w:ascii="Calibri" w:hAnsi="Calibri" w:cs="Times New Roman"/>
          <w:noProof/>
          <w:szCs w:val="24"/>
        </w:rPr>
        <w:t xml:space="preserve">, </w:t>
      </w:r>
      <w:r w:rsidRPr="00044023">
        <w:rPr>
          <w:rFonts w:ascii="Calibri" w:hAnsi="Calibri" w:cs="Times New Roman"/>
          <w:i/>
          <w:iCs/>
          <w:noProof/>
          <w:szCs w:val="24"/>
        </w:rPr>
        <w:t>16</w:t>
      </w:r>
      <w:r w:rsidRPr="00044023">
        <w:rPr>
          <w:rFonts w:ascii="Calibri" w:hAnsi="Calibri" w:cs="Times New Roman"/>
          <w:noProof/>
          <w:szCs w:val="24"/>
        </w:rPr>
        <w:t>(2), 273–290. http://doi.org/10.1111/j.1467-856X.2012.00528.x</w:t>
      </w:r>
    </w:p>
    <w:p w14:paraId="4EA73020"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Menand, L. (2009). The Metaphysical Club. </w:t>
      </w:r>
      <w:r w:rsidRPr="00044023">
        <w:rPr>
          <w:rFonts w:ascii="Calibri" w:hAnsi="Calibri" w:cs="Times New Roman"/>
          <w:i/>
          <w:iCs/>
          <w:noProof/>
          <w:szCs w:val="24"/>
        </w:rPr>
        <w:t>Harvard Library Bulletin</w:t>
      </w:r>
      <w:r w:rsidRPr="00044023">
        <w:rPr>
          <w:rFonts w:ascii="Calibri" w:hAnsi="Calibri" w:cs="Times New Roman"/>
          <w:noProof/>
          <w:szCs w:val="24"/>
        </w:rPr>
        <w:t xml:space="preserve">, </w:t>
      </w:r>
      <w:r w:rsidRPr="00044023">
        <w:rPr>
          <w:rFonts w:ascii="Calibri" w:hAnsi="Calibri" w:cs="Times New Roman"/>
          <w:i/>
          <w:iCs/>
          <w:noProof/>
          <w:szCs w:val="24"/>
        </w:rPr>
        <w:t>20</w:t>
      </w:r>
      <w:r w:rsidRPr="00044023">
        <w:rPr>
          <w:rFonts w:ascii="Calibri" w:hAnsi="Calibri" w:cs="Times New Roman"/>
          <w:noProof/>
          <w:szCs w:val="24"/>
        </w:rPr>
        <w:t>(2), 22–23.</w:t>
      </w:r>
    </w:p>
    <w:p w14:paraId="7EEE281E"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Merton, R. (1968). </w:t>
      </w:r>
      <w:r w:rsidRPr="00044023">
        <w:rPr>
          <w:rFonts w:ascii="Calibri" w:hAnsi="Calibri" w:cs="Times New Roman"/>
          <w:i/>
          <w:iCs/>
          <w:noProof/>
          <w:szCs w:val="24"/>
        </w:rPr>
        <w:t>Social Theory and Social Structure</w:t>
      </w:r>
      <w:r w:rsidRPr="00044023">
        <w:rPr>
          <w:rFonts w:ascii="Calibri" w:hAnsi="Calibri" w:cs="Times New Roman"/>
          <w:noProof/>
          <w:szCs w:val="24"/>
        </w:rPr>
        <w:t>. New York: Free Press.</w:t>
      </w:r>
    </w:p>
    <w:p w14:paraId="118607B4"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Minton, J. (2014). Real geographies and virtual landscapes: Exploring the influence on place and </w:t>
      </w:r>
      <w:r w:rsidRPr="00044023">
        <w:rPr>
          <w:rFonts w:ascii="Calibri" w:hAnsi="Calibri" w:cs="Times New Roman"/>
          <w:noProof/>
          <w:szCs w:val="24"/>
        </w:rPr>
        <w:lastRenderedPageBreak/>
        <w:t xml:space="preserve">space on mortality Lexis surfaces using shaded contour maps. </w:t>
      </w:r>
      <w:r w:rsidRPr="00044023">
        <w:rPr>
          <w:rFonts w:ascii="Calibri" w:hAnsi="Calibri" w:cs="Times New Roman"/>
          <w:i/>
          <w:iCs/>
          <w:noProof/>
          <w:szCs w:val="24"/>
        </w:rPr>
        <w:t>Spatial and Spatio-Temporal Epidemiology</w:t>
      </w:r>
      <w:r w:rsidRPr="00044023">
        <w:rPr>
          <w:rFonts w:ascii="Calibri" w:hAnsi="Calibri" w:cs="Times New Roman"/>
          <w:noProof/>
          <w:szCs w:val="24"/>
        </w:rPr>
        <w:t xml:space="preserve">, </w:t>
      </w:r>
      <w:r w:rsidRPr="00044023">
        <w:rPr>
          <w:rFonts w:ascii="Calibri" w:hAnsi="Calibri" w:cs="Times New Roman"/>
          <w:i/>
          <w:iCs/>
          <w:noProof/>
          <w:szCs w:val="24"/>
        </w:rPr>
        <w:t>10</w:t>
      </w:r>
      <w:r w:rsidRPr="00044023">
        <w:rPr>
          <w:rFonts w:ascii="Calibri" w:hAnsi="Calibri" w:cs="Times New Roman"/>
          <w:noProof/>
          <w:szCs w:val="24"/>
        </w:rPr>
        <w:t>, 49–66. http://doi.org/10.1016/j.sste.2014.04.003</w:t>
      </w:r>
    </w:p>
    <w:p w14:paraId="5DE24128"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Minton, J., Shaw, R., Green, M. A., Vanderbloemen, L., Popham, F., &amp; McCartney, G. (2017). Visualising and quantifying “excess deaths” in Scotland compared with the rest of the UK and the rest of Western Europe. </w:t>
      </w:r>
      <w:r w:rsidRPr="00044023">
        <w:rPr>
          <w:rFonts w:ascii="Calibri" w:hAnsi="Calibri" w:cs="Times New Roman"/>
          <w:i/>
          <w:iCs/>
          <w:noProof/>
          <w:szCs w:val="24"/>
        </w:rPr>
        <w:t>Journal of Epidemiology and Community Health</w:t>
      </w:r>
      <w:r w:rsidRPr="00044023">
        <w:rPr>
          <w:rFonts w:ascii="Calibri" w:hAnsi="Calibri" w:cs="Times New Roman"/>
          <w:noProof/>
          <w:szCs w:val="24"/>
        </w:rPr>
        <w:t xml:space="preserve">, </w:t>
      </w:r>
      <w:r w:rsidRPr="00044023">
        <w:rPr>
          <w:rFonts w:ascii="Calibri" w:hAnsi="Calibri" w:cs="Times New Roman"/>
          <w:i/>
          <w:iCs/>
          <w:noProof/>
          <w:szCs w:val="24"/>
        </w:rPr>
        <w:t>71</w:t>
      </w:r>
      <w:r w:rsidRPr="00044023">
        <w:rPr>
          <w:rFonts w:ascii="Calibri" w:hAnsi="Calibri" w:cs="Times New Roman"/>
          <w:noProof/>
          <w:szCs w:val="24"/>
        </w:rPr>
        <w:t>(5), 461–467. http://doi.org/10.1136/jech-2016-207379</w:t>
      </w:r>
    </w:p>
    <w:p w14:paraId="4BEA8149"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Murtagh, C. (2015). Reaching across: institutional barriers to cross-ethnic parties in post-conflict societies and the case of Northern Ireland. </w:t>
      </w:r>
      <w:r w:rsidRPr="00044023">
        <w:rPr>
          <w:rFonts w:ascii="Calibri" w:hAnsi="Calibri" w:cs="Times New Roman"/>
          <w:i/>
          <w:iCs/>
          <w:noProof/>
          <w:szCs w:val="24"/>
        </w:rPr>
        <w:t>Nations and Nationalism</w:t>
      </w:r>
      <w:r w:rsidRPr="00044023">
        <w:rPr>
          <w:rFonts w:ascii="Calibri" w:hAnsi="Calibri" w:cs="Times New Roman"/>
          <w:noProof/>
          <w:szCs w:val="24"/>
        </w:rPr>
        <w:t xml:space="preserve">, </w:t>
      </w:r>
      <w:r w:rsidRPr="00044023">
        <w:rPr>
          <w:rFonts w:ascii="Calibri" w:hAnsi="Calibri" w:cs="Times New Roman"/>
          <w:i/>
          <w:iCs/>
          <w:noProof/>
          <w:szCs w:val="24"/>
        </w:rPr>
        <w:t>21</w:t>
      </w:r>
      <w:r w:rsidRPr="00044023">
        <w:rPr>
          <w:rFonts w:ascii="Calibri" w:hAnsi="Calibri" w:cs="Times New Roman"/>
          <w:noProof/>
          <w:szCs w:val="24"/>
        </w:rPr>
        <w:t>(3), 544–565. http://doi.org/10.1111/nana.12129</w:t>
      </w:r>
    </w:p>
    <w:p w14:paraId="7E6E9A9E"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R Core Team. (2016). R: A language and environment for statistical computing. Vienna, Austria: Foundation for Statistical Computing,. Retrieved from https://www.r-project.org/</w:t>
      </w:r>
    </w:p>
    <w:p w14:paraId="742E9C14"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Schmid, K., Hewstone, M., &amp; Tausch, N. (2014). Secondary transfer effects of intergroup contact via social identity complexity. </w:t>
      </w:r>
      <w:r w:rsidRPr="00044023">
        <w:rPr>
          <w:rFonts w:ascii="Calibri" w:hAnsi="Calibri" w:cs="Times New Roman"/>
          <w:i/>
          <w:iCs/>
          <w:noProof/>
          <w:szCs w:val="24"/>
        </w:rPr>
        <w:t>The British Journal of Social Psychology</w:t>
      </w:r>
      <w:r w:rsidRPr="00044023">
        <w:rPr>
          <w:rFonts w:ascii="Calibri" w:hAnsi="Calibri" w:cs="Times New Roman"/>
          <w:noProof/>
          <w:szCs w:val="24"/>
        </w:rPr>
        <w:t xml:space="preserve">, </w:t>
      </w:r>
      <w:r w:rsidRPr="00044023">
        <w:rPr>
          <w:rFonts w:ascii="Calibri" w:hAnsi="Calibri" w:cs="Times New Roman"/>
          <w:i/>
          <w:iCs/>
          <w:noProof/>
          <w:szCs w:val="24"/>
        </w:rPr>
        <w:t>53</w:t>
      </w:r>
      <w:r w:rsidRPr="00044023">
        <w:rPr>
          <w:rFonts w:ascii="Calibri" w:hAnsi="Calibri" w:cs="Times New Roman"/>
          <w:noProof/>
          <w:szCs w:val="24"/>
        </w:rPr>
        <w:t>(3), 443–62. http://doi.org/10.1111/bjso.12045</w:t>
      </w:r>
    </w:p>
    <w:p w14:paraId="3B268EB2"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Smyth, M. (1998). </w:t>
      </w:r>
      <w:r w:rsidRPr="00044023">
        <w:rPr>
          <w:rFonts w:ascii="Calibri" w:hAnsi="Calibri" w:cs="Times New Roman"/>
          <w:i/>
          <w:iCs/>
          <w:noProof/>
          <w:szCs w:val="24"/>
        </w:rPr>
        <w:t>Half the Battle: Understanding the impact of “the Troubles” on children and young people</w:t>
      </w:r>
      <w:r w:rsidRPr="00044023">
        <w:rPr>
          <w:rFonts w:ascii="Calibri" w:hAnsi="Calibri" w:cs="Times New Roman"/>
          <w:noProof/>
          <w:szCs w:val="24"/>
        </w:rPr>
        <w:t>. Derry: INCORE. Retrieved from http://cain.ulst.ac.uk/issues/violence/cts/smyth1.htm</w:t>
      </w:r>
    </w:p>
    <w:p w14:paraId="513D1E00"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Tausch, N., Hewstone, M., Kenworthy, J. B., Psaltis, C., Schmid, K., Popan, J. R., … Hughes, J. (2010). Secondary transfer effects of intergroup contact: Alternative accounts and underlying processes. </w:t>
      </w:r>
      <w:r w:rsidRPr="00044023">
        <w:rPr>
          <w:rFonts w:ascii="Calibri" w:hAnsi="Calibri" w:cs="Times New Roman"/>
          <w:i/>
          <w:iCs/>
          <w:noProof/>
          <w:szCs w:val="24"/>
        </w:rPr>
        <w:t>Journal of Personality and Social Psychology</w:t>
      </w:r>
      <w:r w:rsidRPr="00044023">
        <w:rPr>
          <w:rFonts w:ascii="Calibri" w:hAnsi="Calibri" w:cs="Times New Roman"/>
          <w:noProof/>
          <w:szCs w:val="24"/>
        </w:rPr>
        <w:t xml:space="preserve">, </w:t>
      </w:r>
      <w:r w:rsidRPr="00044023">
        <w:rPr>
          <w:rFonts w:ascii="Calibri" w:hAnsi="Calibri" w:cs="Times New Roman"/>
          <w:i/>
          <w:iCs/>
          <w:noProof/>
          <w:szCs w:val="24"/>
        </w:rPr>
        <w:t>99</w:t>
      </w:r>
      <w:r w:rsidRPr="00044023">
        <w:rPr>
          <w:rFonts w:ascii="Calibri" w:hAnsi="Calibri" w:cs="Times New Roman"/>
          <w:noProof/>
          <w:szCs w:val="24"/>
        </w:rPr>
        <w:t>(2), 282–302. http://doi.org/10.1037/a0018553</w:t>
      </w:r>
    </w:p>
    <w:p w14:paraId="30B4CFF3"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Thornton, R. (2007). Getting it Wrong: The Crucial Mistakes Made in the Early Stages of the British Army’s Deployment to Northern Ireland (August 1969 to March 1972). </w:t>
      </w:r>
      <w:r w:rsidRPr="00044023">
        <w:rPr>
          <w:rFonts w:ascii="Calibri" w:hAnsi="Calibri" w:cs="Times New Roman"/>
          <w:i/>
          <w:iCs/>
          <w:noProof/>
          <w:szCs w:val="24"/>
        </w:rPr>
        <w:t>Journal of Strategic Studies</w:t>
      </w:r>
      <w:r w:rsidRPr="00044023">
        <w:rPr>
          <w:rFonts w:ascii="Calibri" w:hAnsi="Calibri" w:cs="Times New Roman"/>
          <w:noProof/>
          <w:szCs w:val="24"/>
        </w:rPr>
        <w:t xml:space="preserve">, </w:t>
      </w:r>
      <w:r w:rsidRPr="00044023">
        <w:rPr>
          <w:rFonts w:ascii="Calibri" w:hAnsi="Calibri" w:cs="Times New Roman"/>
          <w:i/>
          <w:iCs/>
          <w:noProof/>
          <w:szCs w:val="24"/>
        </w:rPr>
        <w:t>30</w:t>
      </w:r>
      <w:r w:rsidRPr="00044023">
        <w:rPr>
          <w:rFonts w:ascii="Calibri" w:hAnsi="Calibri" w:cs="Times New Roman"/>
          <w:noProof/>
          <w:szCs w:val="24"/>
        </w:rPr>
        <w:t>(1), 73–107. http://doi.org/10.1080/01402390701210848</w:t>
      </w:r>
    </w:p>
    <w:p w14:paraId="239A70F9"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Turchin, P., &amp; Gavrilets, S. (2009). Evolution of Complex Hierarchical Societies. </w:t>
      </w:r>
      <w:r w:rsidRPr="00044023">
        <w:rPr>
          <w:rFonts w:ascii="Calibri" w:hAnsi="Calibri" w:cs="Times New Roman"/>
          <w:i/>
          <w:iCs/>
          <w:noProof/>
          <w:szCs w:val="24"/>
        </w:rPr>
        <w:t xml:space="preserve">Social Evolution &amp; </w:t>
      </w:r>
      <w:r w:rsidRPr="00044023">
        <w:rPr>
          <w:rFonts w:ascii="Calibri" w:hAnsi="Calibri" w:cs="Times New Roman"/>
          <w:i/>
          <w:iCs/>
          <w:noProof/>
          <w:szCs w:val="24"/>
        </w:rPr>
        <w:lastRenderedPageBreak/>
        <w:t>History</w:t>
      </w:r>
      <w:r w:rsidRPr="00044023">
        <w:rPr>
          <w:rFonts w:ascii="Calibri" w:hAnsi="Calibri" w:cs="Times New Roman"/>
          <w:noProof/>
          <w:szCs w:val="24"/>
        </w:rPr>
        <w:t xml:space="preserve">, </w:t>
      </w:r>
      <w:r w:rsidRPr="00044023">
        <w:rPr>
          <w:rFonts w:ascii="Calibri" w:hAnsi="Calibri" w:cs="Times New Roman"/>
          <w:i/>
          <w:iCs/>
          <w:noProof/>
          <w:szCs w:val="24"/>
        </w:rPr>
        <w:t>8</w:t>
      </w:r>
      <w:r w:rsidRPr="00044023">
        <w:rPr>
          <w:rFonts w:ascii="Calibri" w:hAnsi="Calibri" w:cs="Times New Roman"/>
          <w:noProof/>
          <w:szCs w:val="24"/>
        </w:rPr>
        <w:t>(2), 167–198.</w:t>
      </w:r>
    </w:p>
    <w:p w14:paraId="76ECD62C"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University of California, B. (USA); M. P. I. for D. R. (Germany). (2017). Human Mortality Database. Retrieved June 13, 2017, from www.mortality.org</w:t>
      </w:r>
    </w:p>
    <w:p w14:paraId="76E14E64"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Vaupel, J. W., Wang, Z., Andreev, K., &amp; Yashin, A. I. (1997). </w:t>
      </w:r>
      <w:r w:rsidRPr="00044023">
        <w:rPr>
          <w:rFonts w:ascii="Calibri" w:hAnsi="Calibri" w:cs="Times New Roman"/>
          <w:i/>
          <w:iCs/>
          <w:noProof/>
          <w:szCs w:val="24"/>
        </w:rPr>
        <w:t>Population Data at a Glance: Shaded Contour Maps of Demographic Surfaces over Age and Time</w:t>
      </w:r>
      <w:r w:rsidRPr="00044023">
        <w:rPr>
          <w:rFonts w:ascii="Calibri" w:hAnsi="Calibri" w:cs="Times New Roman"/>
          <w:noProof/>
          <w:szCs w:val="24"/>
        </w:rPr>
        <w:t>. University Press of Southern Denmark. Retrieved from http://www.abebooks.co.uk/servlet/BookDetailsPL?bi=2944819605</w:t>
      </w:r>
    </w:p>
    <w:p w14:paraId="3C894EA2" w14:textId="77777777" w:rsidR="00044023" w:rsidRPr="00044023" w:rsidRDefault="00044023" w:rsidP="00044023">
      <w:pPr>
        <w:widowControl w:val="0"/>
        <w:autoSpaceDE w:val="0"/>
        <w:autoSpaceDN w:val="0"/>
        <w:adjustRightInd w:val="0"/>
        <w:spacing w:line="480" w:lineRule="auto"/>
        <w:ind w:left="480" w:hanging="480"/>
        <w:rPr>
          <w:rFonts w:ascii="Calibri" w:hAnsi="Calibri"/>
          <w:noProof/>
        </w:rPr>
      </w:pPr>
      <w:r w:rsidRPr="00044023">
        <w:rPr>
          <w:rFonts w:ascii="Calibri" w:hAnsi="Calibri" w:cs="Times New Roman"/>
          <w:noProof/>
          <w:szCs w:val="24"/>
        </w:rPr>
        <w:t xml:space="preserve">Wright, S. (2006). A systems approach to analysing sub‐state conflicts. </w:t>
      </w:r>
      <w:r w:rsidRPr="00044023">
        <w:rPr>
          <w:rFonts w:ascii="Calibri" w:hAnsi="Calibri" w:cs="Times New Roman"/>
          <w:i/>
          <w:iCs/>
          <w:noProof/>
          <w:szCs w:val="24"/>
        </w:rPr>
        <w:t>Kybernetes</w:t>
      </w:r>
      <w:r w:rsidRPr="00044023">
        <w:rPr>
          <w:rFonts w:ascii="Calibri" w:hAnsi="Calibri" w:cs="Times New Roman"/>
          <w:noProof/>
          <w:szCs w:val="24"/>
        </w:rPr>
        <w:t xml:space="preserve">, </w:t>
      </w:r>
      <w:r w:rsidRPr="00044023">
        <w:rPr>
          <w:rFonts w:ascii="Calibri" w:hAnsi="Calibri" w:cs="Times New Roman"/>
          <w:i/>
          <w:iCs/>
          <w:noProof/>
          <w:szCs w:val="24"/>
        </w:rPr>
        <w:t>35</w:t>
      </w:r>
      <w:r w:rsidRPr="00044023">
        <w:rPr>
          <w:rFonts w:ascii="Calibri" w:hAnsi="Calibri" w:cs="Times New Roman"/>
          <w:noProof/>
          <w:szCs w:val="24"/>
        </w:rPr>
        <w:t>(1/2), 182–194. http://doi.org/10.1108/03684920610640308</w:t>
      </w:r>
    </w:p>
    <w:p w14:paraId="68B27265" w14:textId="206D15F7" w:rsidR="00023023" w:rsidRPr="00023023" w:rsidRDefault="00023023" w:rsidP="000B02C5">
      <w:pPr>
        <w:spacing w:line="480" w:lineRule="auto"/>
      </w:pPr>
      <w:r>
        <w:fldChar w:fldCharType="end"/>
      </w:r>
    </w:p>
    <w:sectPr w:rsidR="00023023" w:rsidRPr="000230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Minton" w:date="2017-06-05T11:52:00Z" w:initials="JM">
    <w:p w14:paraId="271A27F9" w14:textId="77777777" w:rsidR="00044023" w:rsidRDefault="00044023"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Please include all authors’ full names, affiliations, postal addresses, telephone numbers and email addresses on the title page. Where available, please also include</w:t>
      </w:r>
      <w:r>
        <w:rPr>
          <w:rStyle w:val="apple-converted-space"/>
          <w:rFonts w:ascii="Arial" w:hAnsi="Arial" w:cs="Arial"/>
          <w:color w:val="333333"/>
        </w:rPr>
        <w:t> </w:t>
      </w:r>
      <w:hyperlink r:id="rId1" w:history="1">
        <w:r>
          <w:rPr>
            <w:rStyle w:val="Hyperlink"/>
            <w:rFonts w:ascii="Arial" w:hAnsi="Arial" w:cs="Arial"/>
            <w:color w:val="10147E"/>
          </w:rPr>
          <w:t>ORCID identifiers</w:t>
        </w:r>
      </w:hyperlink>
      <w:r>
        <w:rPr>
          <w:rStyle w:val="apple-converted-space"/>
          <w:rFonts w:ascii="Arial" w:hAnsi="Arial" w:cs="Arial"/>
          <w:color w:val="333333"/>
        </w:rPr>
        <w:t> </w:t>
      </w:r>
      <w:r>
        <w:rPr>
          <w:rFonts w:ascii="Arial" w:hAnsi="Arial" w:cs="Arial"/>
          <w:color w:val="333333"/>
        </w:rPr>
        <w:t>and social media handles (Facebook, Twitter or LinkedIn). One author will need to be identified as the corresponding author, with their email address normally displayed in the article PDF (depending on the journal) and the online article. Authors’ affiliations are the affiliations where the research was conducted. If any of the named co-authors moves affiliation during the peer-review process, the new affiliation can be given as a footnote. Please note that no changes to affiliation can be made after your paper is accepted.</w:t>
      </w:r>
      <w:r>
        <w:rPr>
          <w:rStyle w:val="apple-converted-space"/>
          <w:rFonts w:ascii="Arial" w:hAnsi="Arial" w:cs="Arial"/>
          <w:color w:val="333333"/>
        </w:rPr>
        <w:t> </w:t>
      </w:r>
      <w:hyperlink r:id="rId2" w:history="1">
        <w:r>
          <w:rPr>
            <w:rStyle w:val="Hyperlink"/>
            <w:rFonts w:ascii="Arial" w:hAnsi="Arial" w:cs="Arial"/>
            <w:color w:val="10147E"/>
          </w:rPr>
          <w:t>Read more on authorship</w:t>
        </w:r>
      </w:hyperlink>
      <w:r>
        <w:rPr>
          <w:rFonts w:ascii="Arial" w:hAnsi="Arial" w:cs="Arial"/>
          <w:color w:val="333333"/>
        </w:rPr>
        <w:t>.</w:t>
      </w:r>
    </w:p>
    <w:p w14:paraId="317C51DA" w14:textId="77777777" w:rsidR="00044023" w:rsidRDefault="00044023">
      <w:pPr>
        <w:pStyle w:val="CommentText"/>
      </w:pPr>
    </w:p>
  </w:comment>
  <w:comment w:id="1" w:author="Jonathan Minton" w:date="2017-06-05T11:52:00Z" w:initials="JM">
    <w:p w14:paraId="095CDC3C" w14:textId="77777777" w:rsidR="00044023" w:rsidRDefault="00044023"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A non-structured</w:t>
      </w:r>
      <w:r>
        <w:rPr>
          <w:rStyle w:val="apple-converted-space"/>
          <w:rFonts w:ascii="Arial" w:hAnsi="Arial" w:cs="Arial"/>
          <w:color w:val="333333"/>
        </w:rPr>
        <w:t> </w:t>
      </w:r>
      <w:r>
        <w:rPr>
          <w:rFonts w:ascii="Arial" w:hAnsi="Arial" w:cs="Arial"/>
          <w:b/>
          <w:bCs/>
          <w:color w:val="333333"/>
        </w:rPr>
        <w:t>abstract</w:t>
      </w:r>
      <w:r>
        <w:rPr>
          <w:rStyle w:val="apple-converted-space"/>
          <w:rFonts w:ascii="Arial" w:hAnsi="Arial" w:cs="Arial"/>
          <w:color w:val="333333"/>
        </w:rPr>
        <w:t> </w:t>
      </w:r>
      <w:r>
        <w:rPr>
          <w:rFonts w:ascii="Arial" w:hAnsi="Arial" w:cs="Arial"/>
          <w:color w:val="333333"/>
        </w:rPr>
        <w:t>of more than 150 and no more than 200 words. Read tips on</w:t>
      </w:r>
      <w:r>
        <w:rPr>
          <w:rStyle w:val="apple-converted-space"/>
          <w:rFonts w:ascii="Arial" w:hAnsi="Arial" w:cs="Arial"/>
          <w:color w:val="333333"/>
        </w:rPr>
        <w:t> </w:t>
      </w:r>
      <w:hyperlink r:id="rId3" w:history="1">
        <w:r>
          <w:rPr>
            <w:rStyle w:val="Hyperlink"/>
            <w:rFonts w:ascii="Arial" w:hAnsi="Arial" w:cs="Arial"/>
            <w:color w:val="10147E"/>
          </w:rPr>
          <w:t>writing your abstract</w:t>
        </w:r>
      </w:hyperlink>
      <w:r>
        <w:rPr>
          <w:rFonts w:ascii="Arial" w:hAnsi="Arial" w:cs="Arial"/>
          <w:color w:val="333333"/>
        </w:rPr>
        <w:t>.</w:t>
      </w:r>
    </w:p>
    <w:p w14:paraId="4A799A93" w14:textId="77777777" w:rsidR="00044023" w:rsidRDefault="00044023">
      <w:pPr>
        <w:pStyle w:val="CommentText"/>
      </w:pPr>
    </w:p>
  </w:comment>
  <w:comment w:id="3" w:author="Jonathan Minton" w:date="2017-06-05T11:53:00Z" w:initials="JM">
    <w:p w14:paraId="362BDCC2" w14:textId="77777777" w:rsidR="00044023" w:rsidRDefault="00044023">
      <w:pPr>
        <w:pStyle w:val="CommentText"/>
      </w:pPr>
      <w:r>
        <w:rPr>
          <w:rStyle w:val="CommentReference"/>
        </w:rPr>
        <w:annotationRef/>
      </w:r>
      <w:r>
        <w:rPr>
          <w:rFonts w:ascii="Arial" w:hAnsi="Arial" w:cs="Arial"/>
          <w:color w:val="333333"/>
        </w:rPr>
        <w:t>You can opt to include a</w:t>
      </w:r>
      <w:r>
        <w:rPr>
          <w:rStyle w:val="apple-converted-space"/>
          <w:rFonts w:ascii="Arial" w:hAnsi="Arial" w:cs="Arial"/>
          <w:color w:val="333333"/>
        </w:rPr>
        <w:t> </w:t>
      </w:r>
      <w:r>
        <w:rPr>
          <w:rFonts w:ascii="Arial" w:hAnsi="Arial" w:cs="Arial"/>
          <w:b/>
          <w:bCs/>
          <w:color w:val="333333"/>
        </w:rPr>
        <w:t>video abstract</w:t>
      </w:r>
      <w:r>
        <w:rPr>
          <w:rStyle w:val="apple-converted-space"/>
          <w:rFonts w:ascii="Arial" w:hAnsi="Arial" w:cs="Arial"/>
          <w:color w:val="333333"/>
        </w:rPr>
        <w:t> </w:t>
      </w:r>
      <w:r>
        <w:rPr>
          <w:rFonts w:ascii="Arial" w:hAnsi="Arial" w:cs="Arial"/>
          <w:color w:val="333333"/>
        </w:rPr>
        <w:t>with your article.</w:t>
      </w:r>
      <w:r>
        <w:rPr>
          <w:rStyle w:val="apple-converted-space"/>
          <w:rFonts w:ascii="Arial" w:hAnsi="Arial" w:cs="Arial"/>
          <w:color w:val="333333"/>
        </w:rPr>
        <w:t> </w:t>
      </w:r>
      <w:hyperlink r:id="rId4" w:history="1">
        <w:r>
          <w:rPr>
            <w:rStyle w:val="Hyperlink"/>
            <w:rFonts w:ascii="Arial" w:hAnsi="Arial" w:cs="Arial"/>
            <w:color w:val="10147E"/>
          </w:rPr>
          <w:t>Find out how these can help your work reach a wider audience, and what to think about when filming</w:t>
        </w:r>
      </w:hyperlink>
      <w:r>
        <w:rPr>
          <w:rFonts w:ascii="Arial" w:hAnsi="Arial" w:cs="Arial"/>
          <w:color w:val="333333"/>
        </w:rPr>
        <w:t>.</w:t>
      </w:r>
    </w:p>
  </w:comment>
  <w:comment w:id="4" w:author="Jonathan Minton" w:date="2017-06-05T11:53:00Z" w:initials="JM">
    <w:p w14:paraId="4BC0D2C5" w14:textId="77777777" w:rsidR="00044023" w:rsidRDefault="00044023"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Read</w:t>
      </w:r>
      <w:r>
        <w:rPr>
          <w:rStyle w:val="apple-converted-space"/>
          <w:rFonts w:ascii="Arial" w:hAnsi="Arial" w:cs="Arial"/>
          <w:color w:val="333333"/>
        </w:rPr>
        <w:t> </w:t>
      </w:r>
      <w:hyperlink r:id="rId5" w:history="1">
        <w:r>
          <w:rPr>
            <w:rStyle w:val="Hyperlink"/>
            <w:rFonts w:ascii="Arial" w:hAnsi="Arial" w:cs="Arial"/>
            <w:color w:val="10147E"/>
          </w:rPr>
          <w:t>making your article more discoverable</w:t>
        </w:r>
      </w:hyperlink>
      <w:r>
        <w:rPr>
          <w:rFonts w:ascii="Arial" w:hAnsi="Arial" w:cs="Arial"/>
          <w:color w:val="333333"/>
        </w:rPr>
        <w:t>, including information on choosing a title and search engine optimization.</w:t>
      </w:r>
    </w:p>
    <w:p w14:paraId="3F62B6AB" w14:textId="77777777" w:rsidR="00044023" w:rsidRDefault="00044023">
      <w:pPr>
        <w:pStyle w:val="CommentText"/>
      </w:pPr>
    </w:p>
  </w:comment>
  <w:comment w:id="5" w:author="Jonathan Minton" w:date="2017-06-05T11:53:00Z" w:initials="JM">
    <w:p w14:paraId="49069590" w14:textId="77777777" w:rsidR="00044023" w:rsidRDefault="00044023">
      <w:pPr>
        <w:pStyle w:val="CommentText"/>
      </w:pPr>
      <w:r>
        <w:rPr>
          <w:rStyle w:val="CommentReference"/>
        </w:rPr>
        <w:annotationRef/>
      </w:r>
      <w:r>
        <w:rPr>
          <w:rFonts w:ascii="Arial" w:hAnsi="Arial" w:cs="Arial"/>
          <w:color w:val="333333"/>
        </w:rPr>
        <w:t>Please supply all details required by your funding and grant-awarding bodies as follows:</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single agency grants</w:t>
      </w:r>
      <w:r>
        <w:rPr>
          <w:rFonts w:ascii="Arial" w:hAnsi="Arial" w:cs="Arial"/>
          <w:color w:val="333333"/>
        </w:rPr>
        <w:t xml:space="preserve">: This work was supported by the [Funding Agency] under Grant [number </w:t>
      </w:r>
      <w:proofErr w:type="spellStart"/>
      <w:r>
        <w:rPr>
          <w:rFonts w:ascii="Arial" w:hAnsi="Arial" w:cs="Arial"/>
          <w:color w:val="333333"/>
        </w:rPr>
        <w:t>xxxx</w:t>
      </w:r>
      <w:proofErr w:type="spellEnd"/>
      <w:r>
        <w:rPr>
          <w:rFonts w:ascii="Arial" w:hAnsi="Arial" w:cs="Arial"/>
          <w:color w:val="333333"/>
        </w:rPr>
        <w:t>].</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multiple agency grants</w:t>
      </w:r>
      <w:r>
        <w:rPr>
          <w:rFonts w:ascii="Arial" w:hAnsi="Arial" w:cs="Arial"/>
          <w:color w:val="333333"/>
        </w:rPr>
        <w:t xml:space="preserve">: This work was supported by the [funding Agency 1]; under Grant [number </w:t>
      </w:r>
      <w:proofErr w:type="spellStart"/>
      <w:r>
        <w:rPr>
          <w:rFonts w:ascii="Arial" w:hAnsi="Arial" w:cs="Arial"/>
          <w:color w:val="333333"/>
        </w:rPr>
        <w:t>xxxx</w:t>
      </w:r>
      <w:proofErr w:type="spellEnd"/>
      <w:r>
        <w:rPr>
          <w:rFonts w:ascii="Arial" w:hAnsi="Arial" w:cs="Arial"/>
          <w:color w:val="333333"/>
        </w:rPr>
        <w:t xml:space="preserve">]; [Funding Agency 2] under Grant [number </w:t>
      </w:r>
      <w:proofErr w:type="spellStart"/>
      <w:r>
        <w:rPr>
          <w:rFonts w:ascii="Arial" w:hAnsi="Arial" w:cs="Arial"/>
          <w:color w:val="333333"/>
        </w:rPr>
        <w:t>xxxx</w:t>
      </w:r>
      <w:proofErr w:type="spellEnd"/>
      <w:r>
        <w:rPr>
          <w:rFonts w:ascii="Arial" w:hAnsi="Arial" w:cs="Arial"/>
          <w:color w:val="333333"/>
        </w:rPr>
        <w:t xml:space="preserve">]; and [Funding Agency 3] under Grant [number </w:t>
      </w:r>
      <w:proofErr w:type="spellStart"/>
      <w:r>
        <w:rPr>
          <w:rFonts w:ascii="Arial" w:hAnsi="Arial" w:cs="Arial"/>
          <w:color w:val="333333"/>
        </w:rPr>
        <w:t>xxxx</w:t>
      </w:r>
      <w:proofErr w:type="spellEnd"/>
      <w:r>
        <w:rPr>
          <w:rFonts w:ascii="Arial" w:hAnsi="Arial" w:cs="Arial"/>
          <w:color w:val="333333"/>
        </w:rPr>
        <w:t>].</w:t>
      </w:r>
    </w:p>
  </w:comment>
  <w:comment w:id="6" w:author="Jonathan Minton" w:date="2017-06-05T11:54:00Z" w:initials="JM">
    <w:p w14:paraId="1CA48E2E" w14:textId="77777777" w:rsidR="00044023" w:rsidRDefault="00044023">
      <w:pPr>
        <w:pStyle w:val="CommentText"/>
      </w:pPr>
      <w:r>
        <w:rPr>
          <w:rStyle w:val="CommentReference"/>
        </w:rPr>
        <w:annotationRef/>
      </w:r>
      <w:r>
        <w:rPr>
          <w:rFonts w:ascii="Arial" w:hAnsi="Arial" w:cs="Arial"/>
          <w:color w:val="333333"/>
        </w:rPr>
        <w:t>This is to acknowledge any financial interest or benefit that has arisen from the direct applications of your research.</w:t>
      </w:r>
      <w:r>
        <w:rPr>
          <w:rStyle w:val="apple-converted-space"/>
          <w:rFonts w:ascii="Arial" w:hAnsi="Arial" w:cs="Arial"/>
          <w:color w:val="333333"/>
        </w:rPr>
        <w:t> </w:t>
      </w:r>
      <w:hyperlink r:id="rId6" w:history="1">
        <w:r>
          <w:rPr>
            <w:rStyle w:val="Hyperlink"/>
            <w:rFonts w:ascii="Arial" w:hAnsi="Arial" w:cs="Arial"/>
            <w:color w:val="10147E"/>
          </w:rPr>
          <w:t>Further guidance on what is a conflict of interest and how to disclose it</w:t>
        </w:r>
      </w:hyperlink>
      <w:r>
        <w:rPr>
          <w:rFonts w:ascii="Arial" w:hAnsi="Arial" w:cs="Arial"/>
          <w:color w:val="333333"/>
        </w:rPr>
        <w:t>.</w:t>
      </w:r>
    </w:p>
  </w:comment>
  <w:comment w:id="7" w:author="Jonathan Minton" w:date="2017-06-05T11:54:00Z" w:initials="JM">
    <w:p w14:paraId="6FEF3E85" w14:textId="77777777" w:rsidR="00044023" w:rsidRDefault="00044023"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Please supply a short biographical note for each author. This could be adapted from your departmental website or academic networking profile and should be relatively brief (e.g. no more than 100 words).</w:t>
      </w:r>
    </w:p>
    <w:p w14:paraId="483E5CEB" w14:textId="77777777" w:rsidR="00044023" w:rsidRDefault="00044023">
      <w:pPr>
        <w:pStyle w:val="CommentText"/>
      </w:pPr>
    </w:p>
  </w:comment>
  <w:comment w:id="8" w:author="Jonathan Minton" w:date="2017-06-05T11:54:00Z" w:initials="JM">
    <w:p w14:paraId="1B7F6CBA" w14:textId="77777777" w:rsidR="00044023" w:rsidRDefault="00044023"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 xml:space="preserve">Submitting a geolocation information section, as a separate paragraph before your acknowledgements, means we can index your paper’s study area accurately in </w:t>
      </w:r>
      <w:proofErr w:type="spellStart"/>
      <w:r>
        <w:rPr>
          <w:rFonts w:ascii="Arial" w:hAnsi="Arial" w:cs="Arial"/>
          <w:color w:val="333333"/>
        </w:rPr>
        <w:t>JournalMap’s</w:t>
      </w:r>
      <w:proofErr w:type="spellEnd"/>
      <w:r>
        <w:rPr>
          <w:rFonts w:ascii="Arial" w:hAnsi="Arial" w:cs="Arial"/>
          <w:color w:val="333333"/>
        </w:rPr>
        <w:t xml:space="preserve"> geographic literature database and</w:t>
      </w:r>
      <w:r>
        <w:rPr>
          <w:rStyle w:val="apple-converted-space"/>
          <w:rFonts w:ascii="Arial" w:hAnsi="Arial" w:cs="Arial"/>
          <w:color w:val="333333"/>
        </w:rPr>
        <w:t> </w:t>
      </w:r>
      <w:hyperlink r:id="rId7" w:history="1">
        <w:r>
          <w:rPr>
            <w:rStyle w:val="Hyperlink"/>
            <w:rFonts w:ascii="Arial" w:hAnsi="Arial" w:cs="Arial"/>
            <w:color w:val="10147E"/>
          </w:rPr>
          <w:t>make your article more discoverable to others</w:t>
        </w:r>
      </w:hyperlink>
      <w:r>
        <w:rPr>
          <w:rFonts w:ascii="Arial" w:hAnsi="Arial" w:cs="Arial"/>
          <w:color w:val="333333"/>
        </w:rPr>
        <w:t>.</w:t>
      </w:r>
    </w:p>
    <w:p w14:paraId="027AEEBF" w14:textId="77777777" w:rsidR="00044023" w:rsidRDefault="00044023">
      <w:pPr>
        <w:pStyle w:val="CommentText"/>
      </w:pPr>
    </w:p>
  </w:comment>
  <w:comment w:id="9" w:author="Jonathan Minton" w:date="2017-06-05T11:54:00Z" w:initials="JM">
    <w:p w14:paraId="4125BA54" w14:textId="77777777" w:rsidR="00044023" w:rsidRDefault="00044023"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 xml:space="preserve">Supplemental material can be a video, dataset, </w:t>
      </w:r>
      <w:proofErr w:type="spellStart"/>
      <w:r>
        <w:rPr>
          <w:rFonts w:ascii="Arial" w:hAnsi="Arial" w:cs="Arial"/>
          <w:color w:val="333333"/>
        </w:rPr>
        <w:t>fileset</w:t>
      </w:r>
      <w:proofErr w:type="spellEnd"/>
      <w:r>
        <w:rPr>
          <w:rFonts w:ascii="Arial" w:hAnsi="Arial" w:cs="Arial"/>
          <w:color w:val="333333"/>
        </w:rPr>
        <w:t xml:space="preserve">, sound file or anything which supports (and is pertinent to) your paper. We publish supplemental material online via </w:t>
      </w:r>
      <w:proofErr w:type="spellStart"/>
      <w:r>
        <w:rPr>
          <w:rFonts w:ascii="Arial" w:hAnsi="Arial" w:cs="Arial"/>
          <w:color w:val="333333"/>
        </w:rPr>
        <w:t>Figshare</w:t>
      </w:r>
      <w:proofErr w:type="spellEnd"/>
      <w:r>
        <w:rPr>
          <w:rFonts w:ascii="Arial" w:hAnsi="Arial" w:cs="Arial"/>
          <w:color w:val="333333"/>
        </w:rPr>
        <w:t>. Find out more about</w:t>
      </w:r>
      <w:r>
        <w:rPr>
          <w:rStyle w:val="apple-converted-space"/>
          <w:rFonts w:ascii="Arial" w:hAnsi="Arial" w:cs="Arial"/>
          <w:color w:val="333333"/>
        </w:rPr>
        <w:t> </w:t>
      </w:r>
      <w:hyperlink r:id="rId8" w:history="1">
        <w:r>
          <w:rPr>
            <w:rStyle w:val="Hyperlink"/>
            <w:rFonts w:ascii="Arial" w:hAnsi="Arial" w:cs="Arial"/>
            <w:color w:val="10147E"/>
          </w:rPr>
          <w:t>supplemental material and how to submit it with your article</w:t>
        </w:r>
      </w:hyperlink>
      <w:r>
        <w:rPr>
          <w:rFonts w:ascii="Arial" w:hAnsi="Arial" w:cs="Arial"/>
          <w:color w:val="333333"/>
        </w:rPr>
        <w:t>.</w:t>
      </w:r>
    </w:p>
    <w:p w14:paraId="5F69F10C" w14:textId="77777777" w:rsidR="00044023" w:rsidRDefault="00044023">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7C51DA" w15:done="0"/>
  <w15:commentEx w15:paraId="4A799A93" w15:done="0"/>
  <w15:commentEx w15:paraId="362BDCC2" w15:done="0"/>
  <w15:commentEx w15:paraId="3F62B6AB" w15:done="0"/>
  <w15:commentEx w15:paraId="49069590" w15:done="0"/>
  <w15:commentEx w15:paraId="1CA48E2E" w15:done="0"/>
  <w15:commentEx w15:paraId="483E5CEB" w15:done="0"/>
  <w15:commentEx w15:paraId="027AEEBF" w15:done="0"/>
  <w15:commentEx w15:paraId="5F69F10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584C07" w14:textId="77777777" w:rsidR="001C5702" w:rsidRDefault="001C5702" w:rsidP="000B02C5">
      <w:pPr>
        <w:spacing w:after="0" w:line="240" w:lineRule="auto"/>
      </w:pPr>
      <w:r>
        <w:separator/>
      </w:r>
    </w:p>
  </w:endnote>
  <w:endnote w:type="continuationSeparator" w:id="0">
    <w:p w14:paraId="1B1FA8DC" w14:textId="77777777" w:rsidR="001C5702" w:rsidRDefault="001C5702" w:rsidP="000B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618873"/>
      <w:docPartObj>
        <w:docPartGallery w:val="Page Numbers (Bottom of Page)"/>
        <w:docPartUnique/>
      </w:docPartObj>
    </w:sdtPr>
    <w:sdtEndPr>
      <w:rPr>
        <w:noProof/>
      </w:rPr>
    </w:sdtEndPr>
    <w:sdtContent>
      <w:p w14:paraId="388815F7" w14:textId="69366F66" w:rsidR="00044023" w:rsidRDefault="00044023">
        <w:pPr>
          <w:pStyle w:val="Footer"/>
          <w:jc w:val="right"/>
        </w:pPr>
        <w:r>
          <w:fldChar w:fldCharType="begin"/>
        </w:r>
        <w:r>
          <w:instrText xml:space="preserve"> PAGE   \* MERGEFORMAT </w:instrText>
        </w:r>
        <w:r>
          <w:fldChar w:fldCharType="separate"/>
        </w:r>
        <w:r w:rsidR="009D1C84">
          <w:rPr>
            <w:noProof/>
          </w:rPr>
          <w:t>1</w:t>
        </w:r>
        <w:r>
          <w:rPr>
            <w:noProof/>
          </w:rPr>
          <w:fldChar w:fldCharType="end"/>
        </w:r>
      </w:p>
    </w:sdtContent>
  </w:sdt>
  <w:p w14:paraId="1C47D505" w14:textId="77777777" w:rsidR="00044023" w:rsidRDefault="000440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ACC6B" w14:textId="77777777" w:rsidR="001C5702" w:rsidRDefault="001C5702" w:rsidP="000B02C5">
      <w:pPr>
        <w:spacing w:after="0" w:line="240" w:lineRule="auto"/>
      </w:pPr>
      <w:r>
        <w:separator/>
      </w:r>
    </w:p>
  </w:footnote>
  <w:footnote w:type="continuationSeparator" w:id="0">
    <w:p w14:paraId="59C7039C" w14:textId="77777777" w:rsidR="001C5702" w:rsidRDefault="001C5702" w:rsidP="000B02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433147"/>
    <w:multiLevelType w:val="hybridMultilevel"/>
    <w:tmpl w:val="8158B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C66EF4"/>
    <w:multiLevelType w:val="multilevel"/>
    <w:tmpl w:val="B390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115FD2"/>
    <w:multiLevelType w:val="hybridMultilevel"/>
    <w:tmpl w:val="803AD0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Minton">
    <w15:presenceInfo w15:providerId="AD" w15:userId="S-1-5-21-3392181128-250301629-2379905336-241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CB"/>
    <w:rsid w:val="00023023"/>
    <w:rsid w:val="00044023"/>
    <w:rsid w:val="00045603"/>
    <w:rsid w:val="00095E96"/>
    <w:rsid w:val="000B02C5"/>
    <w:rsid w:val="000B2D22"/>
    <w:rsid w:val="000D3EC9"/>
    <w:rsid w:val="000E2BEA"/>
    <w:rsid w:val="0011370C"/>
    <w:rsid w:val="00143745"/>
    <w:rsid w:val="00146D0F"/>
    <w:rsid w:val="001B7B4E"/>
    <w:rsid w:val="001C5702"/>
    <w:rsid w:val="001D2C6E"/>
    <w:rsid w:val="001D36B8"/>
    <w:rsid w:val="001E1856"/>
    <w:rsid w:val="001F32F4"/>
    <w:rsid w:val="00203A77"/>
    <w:rsid w:val="0024334F"/>
    <w:rsid w:val="00266368"/>
    <w:rsid w:val="0029467E"/>
    <w:rsid w:val="002D4A9D"/>
    <w:rsid w:val="002E108B"/>
    <w:rsid w:val="00307E81"/>
    <w:rsid w:val="00322835"/>
    <w:rsid w:val="00327D17"/>
    <w:rsid w:val="003400A5"/>
    <w:rsid w:val="003426AF"/>
    <w:rsid w:val="003575AB"/>
    <w:rsid w:val="00357EBB"/>
    <w:rsid w:val="003726C0"/>
    <w:rsid w:val="003D0EC1"/>
    <w:rsid w:val="003F3012"/>
    <w:rsid w:val="0041727A"/>
    <w:rsid w:val="004436DF"/>
    <w:rsid w:val="0049186E"/>
    <w:rsid w:val="004D1C59"/>
    <w:rsid w:val="004F1F5D"/>
    <w:rsid w:val="00500E6F"/>
    <w:rsid w:val="005213D9"/>
    <w:rsid w:val="005223FE"/>
    <w:rsid w:val="005629D3"/>
    <w:rsid w:val="00563F5E"/>
    <w:rsid w:val="005670E4"/>
    <w:rsid w:val="00572441"/>
    <w:rsid w:val="005805CB"/>
    <w:rsid w:val="005B3129"/>
    <w:rsid w:val="005D4F12"/>
    <w:rsid w:val="005E7056"/>
    <w:rsid w:val="005F5990"/>
    <w:rsid w:val="0062486B"/>
    <w:rsid w:val="006764AA"/>
    <w:rsid w:val="006C78A1"/>
    <w:rsid w:val="006D095E"/>
    <w:rsid w:val="006D78AC"/>
    <w:rsid w:val="006E3FB2"/>
    <w:rsid w:val="007029A2"/>
    <w:rsid w:val="00717779"/>
    <w:rsid w:val="00720800"/>
    <w:rsid w:val="007232AE"/>
    <w:rsid w:val="00725DD5"/>
    <w:rsid w:val="00757F5B"/>
    <w:rsid w:val="007A7A42"/>
    <w:rsid w:val="007B2477"/>
    <w:rsid w:val="007F5EF6"/>
    <w:rsid w:val="008001D5"/>
    <w:rsid w:val="008210AD"/>
    <w:rsid w:val="00842964"/>
    <w:rsid w:val="008818FA"/>
    <w:rsid w:val="008D1A01"/>
    <w:rsid w:val="008E371F"/>
    <w:rsid w:val="009140E4"/>
    <w:rsid w:val="00924589"/>
    <w:rsid w:val="00963867"/>
    <w:rsid w:val="00975750"/>
    <w:rsid w:val="00990874"/>
    <w:rsid w:val="009C0F9D"/>
    <w:rsid w:val="009D1C84"/>
    <w:rsid w:val="00A046D1"/>
    <w:rsid w:val="00A30D59"/>
    <w:rsid w:val="00A33838"/>
    <w:rsid w:val="00A7665B"/>
    <w:rsid w:val="00A96270"/>
    <w:rsid w:val="00AF371D"/>
    <w:rsid w:val="00B03DB4"/>
    <w:rsid w:val="00B447E0"/>
    <w:rsid w:val="00C308A5"/>
    <w:rsid w:val="00C371AF"/>
    <w:rsid w:val="00C920BF"/>
    <w:rsid w:val="00C94CE9"/>
    <w:rsid w:val="00CB6062"/>
    <w:rsid w:val="00CC1DA7"/>
    <w:rsid w:val="00CD5496"/>
    <w:rsid w:val="00D0423A"/>
    <w:rsid w:val="00D055BC"/>
    <w:rsid w:val="00DC2B06"/>
    <w:rsid w:val="00DF7284"/>
    <w:rsid w:val="00E34348"/>
    <w:rsid w:val="00E37237"/>
    <w:rsid w:val="00EB1C4F"/>
    <w:rsid w:val="00EC53AF"/>
    <w:rsid w:val="00EE07C7"/>
    <w:rsid w:val="00EF2178"/>
    <w:rsid w:val="00EF78B9"/>
    <w:rsid w:val="00F119C2"/>
    <w:rsid w:val="00F130E9"/>
    <w:rsid w:val="00F1537E"/>
    <w:rsid w:val="00F15547"/>
    <w:rsid w:val="00F33FF6"/>
    <w:rsid w:val="00F350B4"/>
    <w:rsid w:val="00F60885"/>
    <w:rsid w:val="00F73E1F"/>
    <w:rsid w:val="00FD52DB"/>
    <w:rsid w:val="00FD6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15A7"/>
  <w15:chartTrackingRefBased/>
  <w15:docId w15:val="{3D5D9FC7-7FFF-40FB-B900-460C6434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0E2"/>
  </w:style>
  <w:style w:type="paragraph" w:styleId="Heading1">
    <w:name w:val="heading 1"/>
    <w:basedOn w:val="Normal"/>
    <w:next w:val="Normal"/>
    <w:link w:val="Heading1Char"/>
    <w:uiPriority w:val="9"/>
    <w:qFormat/>
    <w:rsid w:val="00F15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3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7B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E2"/>
    <w:rPr>
      <w:color w:val="0563C1" w:themeColor="hyperlink"/>
      <w:u w:val="single"/>
    </w:rPr>
  </w:style>
  <w:style w:type="character" w:customStyle="1" w:styleId="apple-converted-space">
    <w:name w:val="apple-converted-space"/>
    <w:basedOn w:val="DefaultParagraphFont"/>
    <w:rsid w:val="00FD60E2"/>
  </w:style>
  <w:style w:type="paragraph" w:styleId="ListParagraph">
    <w:name w:val="List Paragraph"/>
    <w:basedOn w:val="Normal"/>
    <w:uiPriority w:val="34"/>
    <w:qFormat/>
    <w:rsid w:val="00FD60E2"/>
    <w:pPr>
      <w:ind w:left="720"/>
      <w:contextualSpacing/>
    </w:pPr>
  </w:style>
  <w:style w:type="character" w:styleId="CommentReference">
    <w:name w:val="annotation reference"/>
    <w:basedOn w:val="DefaultParagraphFont"/>
    <w:uiPriority w:val="99"/>
    <w:semiHidden/>
    <w:unhideWhenUsed/>
    <w:rsid w:val="00FD60E2"/>
    <w:rPr>
      <w:sz w:val="16"/>
      <w:szCs w:val="16"/>
    </w:rPr>
  </w:style>
  <w:style w:type="paragraph" w:styleId="CommentText">
    <w:name w:val="annotation text"/>
    <w:basedOn w:val="Normal"/>
    <w:link w:val="CommentTextChar"/>
    <w:uiPriority w:val="99"/>
    <w:semiHidden/>
    <w:unhideWhenUsed/>
    <w:rsid w:val="00FD60E2"/>
    <w:pPr>
      <w:spacing w:line="240" w:lineRule="auto"/>
    </w:pPr>
    <w:rPr>
      <w:sz w:val="20"/>
      <w:szCs w:val="20"/>
    </w:rPr>
  </w:style>
  <w:style w:type="character" w:customStyle="1" w:styleId="CommentTextChar">
    <w:name w:val="Comment Text Char"/>
    <w:basedOn w:val="DefaultParagraphFont"/>
    <w:link w:val="CommentText"/>
    <w:uiPriority w:val="99"/>
    <w:semiHidden/>
    <w:rsid w:val="00FD60E2"/>
    <w:rPr>
      <w:sz w:val="20"/>
      <w:szCs w:val="20"/>
    </w:rPr>
  </w:style>
  <w:style w:type="paragraph" w:styleId="CommentSubject">
    <w:name w:val="annotation subject"/>
    <w:basedOn w:val="CommentText"/>
    <w:next w:val="CommentText"/>
    <w:link w:val="CommentSubjectChar"/>
    <w:uiPriority w:val="99"/>
    <w:semiHidden/>
    <w:unhideWhenUsed/>
    <w:rsid w:val="00FD60E2"/>
    <w:rPr>
      <w:b/>
      <w:bCs/>
    </w:rPr>
  </w:style>
  <w:style w:type="character" w:customStyle="1" w:styleId="CommentSubjectChar">
    <w:name w:val="Comment Subject Char"/>
    <w:basedOn w:val="CommentTextChar"/>
    <w:link w:val="CommentSubject"/>
    <w:uiPriority w:val="99"/>
    <w:semiHidden/>
    <w:rsid w:val="00FD60E2"/>
    <w:rPr>
      <w:b/>
      <w:bCs/>
      <w:sz w:val="20"/>
      <w:szCs w:val="20"/>
    </w:rPr>
  </w:style>
  <w:style w:type="paragraph" w:styleId="BalloonText">
    <w:name w:val="Balloon Text"/>
    <w:basedOn w:val="Normal"/>
    <w:link w:val="BalloonTextChar"/>
    <w:uiPriority w:val="99"/>
    <w:semiHidden/>
    <w:unhideWhenUsed/>
    <w:rsid w:val="00FD6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0E2"/>
    <w:rPr>
      <w:rFonts w:ascii="Segoe UI" w:hAnsi="Segoe UI" w:cs="Segoe UI"/>
      <w:sz w:val="18"/>
      <w:szCs w:val="18"/>
    </w:rPr>
  </w:style>
  <w:style w:type="character" w:styleId="FollowedHyperlink">
    <w:name w:val="FollowedHyperlink"/>
    <w:basedOn w:val="DefaultParagraphFont"/>
    <w:uiPriority w:val="99"/>
    <w:semiHidden/>
    <w:unhideWhenUsed/>
    <w:rsid w:val="00FD60E2"/>
    <w:rPr>
      <w:color w:val="954F72" w:themeColor="followedHyperlink"/>
      <w:u w:val="single"/>
    </w:rPr>
  </w:style>
  <w:style w:type="character" w:customStyle="1" w:styleId="Heading1Char">
    <w:name w:val="Heading 1 Char"/>
    <w:basedOn w:val="DefaultParagraphFont"/>
    <w:link w:val="Heading1"/>
    <w:uiPriority w:val="9"/>
    <w:rsid w:val="00F153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37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D4F12"/>
    <w:rPr>
      <w:color w:val="808080"/>
    </w:rPr>
  </w:style>
  <w:style w:type="character" w:customStyle="1" w:styleId="Heading3Char">
    <w:name w:val="Heading 3 Char"/>
    <w:basedOn w:val="DefaultParagraphFont"/>
    <w:link w:val="Heading3"/>
    <w:uiPriority w:val="9"/>
    <w:rsid w:val="001B7B4E"/>
    <w:rPr>
      <w:rFonts w:asciiTheme="majorHAnsi" w:eastAsiaTheme="majorEastAsia" w:hAnsiTheme="majorHAnsi" w:cstheme="majorBidi"/>
      <w:color w:val="1F4D78" w:themeColor="accent1" w:themeShade="7F"/>
      <w:sz w:val="24"/>
      <w:szCs w:val="24"/>
    </w:rPr>
  </w:style>
  <w:style w:type="character" w:styleId="LineNumber">
    <w:name w:val="line number"/>
    <w:basedOn w:val="DefaultParagraphFont"/>
    <w:uiPriority w:val="99"/>
    <w:semiHidden/>
    <w:unhideWhenUsed/>
    <w:rsid w:val="008D1A01"/>
  </w:style>
  <w:style w:type="paragraph" w:styleId="Header">
    <w:name w:val="header"/>
    <w:basedOn w:val="Normal"/>
    <w:link w:val="HeaderChar"/>
    <w:uiPriority w:val="99"/>
    <w:unhideWhenUsed/>
    <w:rsid w:val="000B0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2C5"/>
  </w:style>
  <w:style w:type="paragraph" w:styleId="Footer">
    <w:name w:val="footer"/>
    <w:basedOn w:val="Normal"/>
    <w:link w:val="FooterChar"/>
    <w:uiPriority w:val="99"/>
    <w:unhideWhenUsed/>
    <w:rsid w:val="000B0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2C5"/>
  </w:style>
  <w:style w:type="paragraph" w:styleId="Caption">
    <w:name w:val="caption"/>
    <w:basedOn w:val="Normal"/>
    <w:next w:val="Normal"/>
    <w:uiPriority w:val="35"/>
    <w:semiHidden/>
    <w:unhideWhenUsed/>
    <w:qFormat/>
    <w:rsid w:val="003400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4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authorservices.taylorandfrancis.com/enhancing-your-article-with-supplemental-material/" TargetMode="External"/><Relationship Id="rId3" Type="http://schemas.openxmlformats.org/officeDocument/2006/relationships/hyperlink" Target="http://authorservices.taylorandfrancis.com/abstracts-and-titles/" TargetMode="External"/><Relationship Id="rId7" Type="http://schemas.openxmlformats.org/officeDocument/2006/relationships/hyperlink" Target="http://authorservices.taylorandfrancis.com/making-your-article-and-you-more-discoverable/" TargetMode="External"/><Relationship Id="rId2" Type="http://schemas.openxmlformats.org/officeDocument/2006/relationships/hyperlink" Target="http://authorservices.taylorandfrancis.com/defining-authorship/" TargetMode="External"/><Relationship Id="rId1" Type="http://schemas.openxmlformats.org/officeDocument/2006/relationships/hyperlink" Target="http://orcid.org/" TargetMode="External"/><Relationship Id="rId6" Type="http://schemas.openxmlformats.org/officeDocument/2006/relationships/hyperlink" Target="http://authorservices.taylorandfrancis.com/what-is-a-conflict-of-interest/" TargetMode="External"/><Relationship Id="rId5" Type="http://schemas.openxmlformats.org/officeDocument/2006/relationships/hyperlink" Target="http://authorservices.taylorandfrancis.com/making-your-article-and-you-more-discoverable/" TargetMode="External"/><Relationship Id="rId4" Type="http://schemas.openxmlformats.org/officeDocument/2006/relationships/hyperlink" Target="http://authorservices.taylorandfrancis.com/video-abstract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nMinton/Northern_Ireland_Troubl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te.minton@gmail.com"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jonathan.minton@glasgow.ac.uk"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EA6A9-BD56-4E4E-A127-A1FAE2602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23</Pages>
  <Words>17111</Words>
  <Characters>97539</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114422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18</cp:revision>
  <cp:lastPrinted>2017-06-13T09:43:00Z</cp:lastPrinted>
  <dcterms:created xsi:type="dcterms:W3CDTF">2017-06-05T10:48:00Z</dcterms:created>
  <dcterms:modified xsi:type="dcterms:W3CDTF">2017-06-13T16:13:00Z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http://www.zotero.org/styles/environment-and-planning-a</vt:lpwstr>
  </property>
  <property fmtid="{D5CDD505-2E9C-101B-9397-08002B2CF9AE}" pid="12" name="Mendeley Recent Style Name 3_1">
    <vt:lpwstr>Environment and Planning A</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http://www.zotero.org/styles/journal-of-epidemiology-and-community-health</vt:lpwstr>
  </property>
  <property fmtid="{D5CDD505-2E9C-101B-9397-08002B2CF9AE}" pid="18" name="Mendeley Recent Style Name 6_1">
    <vt:lpwstr>Journal of Epidemiology and Community Health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