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251D0" w14:textId="5CA90AD7" w:rsidR="00F119C2" w:rsidRPr="003400A5" w:rsidRDefault="001840AD" w:rsidP="000B02C5">
      <w:pPr>
        <w:pStyle w:val="Heading1"/>
        <w:spacing w:line="480" w:lineRule="auto"/>
        <w:rPr>
          <w:color w:val="auto"/>
        </w:rPr>
      </w:pPr>
      <w:r>
        <w:rPr>
          <w:color w:val="auto"/>
        </w:rPr>
        <w:t xml:space="preserve">The Shape of the Troubles: Visualising and quantifying conflict-attributable excess deaths after 1972 in young adult males in Northern Ireland </w:t>
      </w:r>
    </w:p>
    <w:p w14:paraId="107F404D" w14:textId="24DB4E50" w:rsidR="00F1537E" w:rsidRPr="003400A5" w:rsidRDefault="00F1537E" w:rsidP="000B02C5">
      <w:pPr>
        <w:pStyle w:val="Heading2"/>
        <w:spacing w:line="480" w:lineRule="auto"/>
        <w:rPr>
          <w:color w:val="auto"/>
        </w:rPr>
      </w:pPr>
      <w:r w:rsidRPr="003400A5">
        <w:rPr>
          <w:color w:val="auto"/>
        </w:rPr>
        <w:t>Introduction</w:t>
      </w:r>
    </w:p>
    <w:p w14:paraId="0958BD8A" w14:textId="3C2672C3" w:rsidR="00975750" w:rsidRDefault="004F1F5D" w:rsidP="000B02C5">
      <w:pPr>
        <w:spacing w:line="480" w:lineRule="auto"/>
      </w:pPr>
      <w:r>
        <w:t>The issue of Northern Ireland, the Republic of Ireland, and the long border separating the two countries received relatively little attention in the run up to the EU Referendum on 23 June 201</w:t>
      </w:r>
      <w:r w:rsidR="00F6656A">
        <w:t>7</w:t>
      </w:r>
      <w:r>
        <w:t>. When the results of the Referendum were clear, and the Irish border became the only land border between the UK and the EU, Northern Ireland and the Republic of Ireland still received relatively little public or political attention. When, in the three months before the 201</w:t>
      </w:r>
      <w:r w:rsidR="00F6656A">
        <w:t>7</w:t>
      </w:r>
      <w:r>
        <w:t xml:space="preserve"> General Election, there were three terrorist events on the UK mainland, Northern Ireland still received relatively little attention in relation either to Brexit or UK government more generally, despite the region for many decades being one of Western Europe’s fulmination points for terrorist-related activity. However, at the t</w:t>
      </w:r>
      <w:r w:rsidR="00F6656A">
        <w:t>ime of writing (13 June 2017</w:t>
      </w:r>
      <w:r>
        <w:t xml:space="preserve">), in the days following the General Election results, mainland attention has finally turned to Northern Ireland, given </w:t>
      </w:r>
      <w:r w:rsidR="008210AD">
        <w:t xml:space="preserve">the critical role that the Democratic Unionist Party (DUP) may play in supporting a Conservative minority government, and the ramifications of Tory-DUP unions to stability both in Westminster and in the island of Ireland. </w:t>
      </w:r>
      <w:r w:rsidR="00D0423A">
        <w:t xml:space="preserve">This paper argues </w:t>
      </w:r>
      <w:r w:rsidR="008210AD">
        <w:t xml:space="preserve">that more attention should have been paid throughout to Northern Ireland, and for </w:t>
      </w:r>
      <w:r w:rsidR="00D0423A">
        <w:t xml:space="preserve">a deeper analysis and understanding of the causes and consequences of violent conflict in </w:t>
      </w:r>
      <w:r w:rsidR="008210AD">
        <w:t>the region</w:t>
      </w:r>
      <w:r w:rsidR="00203A77">
        <w:t xml:space="preserve">. </w:t>
      </w:r>
    </w:p>
    <w:p w14:paraId="48F3C7EE" w14:textId="77777777" w:rsidR="00975750" w:rsidRDefault="00203A77" w:rsidP="000B02C5">
      <w:pPr>
        <w:spacing w:line="480" w:lineRule="auto"/>
      </w:pPr>
      <w:r>
        <w:t xml:space="preserve">Three specific </w:t>
      </w:r>
      <w:r w:rsidR="00EE07C7">
        <w:t xml:space="preserve">empirical </w:t>
      </w:r>
      <w:r>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 xml:space="preserve">attributable to the conflict, based on observed patterns and trends in overall mortality, and compare these with estimates based on deaths directly attributed to violence; and to characterise the particular pattern of excess mortality </w:t>
      </w:r>
      <w:r w:rsidR="00EE07C7">
        <w:lastRenderedPageBreak/>
        <w:t xml:space="preserve">observed in Northern Irish demographic data, and describe why this is consistent with a tit-for-tat form of sectarian conflict. </w:t>
      </w:r>
    </w:p>
    <w:p w14:paraId="359E8E5C" w14:textId="4BF7B8A4" w:rsidR="00D0423A" w:rsidRDefault="00A30D59" w:rsidP="000B02C5">
      <w:pPr>
        <w:spacing w:line="480" w:lineRule="auto"/>
      </w:pPr>
      <w:r>
        <w:t>Substantively</w:t>
      </w:r>
      <w:r w:rsidR="006764AA">
        <w:t>,</w:t>
      </w:r>
      <w:r>
        <w:t xml:space="preserve"> </w:t>
      </w:r>
      <w:r w:rsidR="006764AA">
        <w:t xml:space="preserve">we </w:t>
      </w:r>
      <w:r>
        <w:t>argue</w:t>
      </w:r>
      <w:r w:rsidR="00EE07C7">
        <w:t xml:space="preserve"> that t</w:t>
      </w:r>
      <w:r w:rsidR="005213D9">
        <w:t xml:space="preserve">he fundamentals which led to this earlier wave of death and instability may still be present within Northern Irish society, and that poorly handled Brexit negotiations risk re-initiating a fresh wave of violence that, once started, may take decades to settle down again. </w:t>
      </w:r>
      <w:r w:rsidR="006764AA">
        <w:t xml:space="preserve">The logic of our model challenges a dominant narrative about the peace process in Northern Ireland, suggesting that key political events in the road to peace followed rather than led trends towards reduced violence in the </w:t>
      </w:r>
      <w:r>
        <w:t>region</w:t>
      </w:r>
      <w:r w:rsidR="006764AA">
        <w:t>.</w:t>
      </w:r>
      <w:r w:rsidR="005213D9">
        <w:t xml:space="preserve"> </w:t>
      </w:r>
    </w:p>
    <w:p w14:paraId="1EC82D46" w14:textId="31E01884" w:rsidR="00203A77" w:rsidRPr="003400A5" w:rsidRDefault="006764AA" w:rsidP="000B02C5">
      <w:pPr>
        <w:spacing w:line="480" w:lineRule="auto"/>
      </w:pPr>
      <w:r>
        <w:t xml:space="preserve">In </w:t>
      </w:r>
      <w:r w:rsidR="005213D9">
        <w:t>section two</w:t>
      </w:r>
      <w:r>
        <w:t xml:space="preserve"> we</w:t>
      </w:r>
      <w:r w:rsidR="005213D9">
        <w:t xml:space="preserve"> will provide a brief history of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w:t>
      </w:r>
      <w:r w:rsidR="00A30D59">
        <w:t>used to</w:t>
      </w:r>
      <w:r>
        <w:t xml:space="preserve"> explore the impact of the Troubles on mortality patterns in Northern Ireland</w:t>
      </w:r>
      <w:r w:rsidR="001D2C6E">
        <w:t xml:space="preserve">. Section four will present </w:t>
      </w:r>
      <w:r>
        <w:t xml:space="preserve">descriptive data visualisation and predicted mortality surfaces from the model, </w:t>
      </w:r>
      <w:r w:rsidR="001D2C6E">
        <w:t xml:space="preserve">and estimates </w:t>
      </w:r>
      <w:r>
        <w:t xml:space="preserve">of </w:t>
      </w:r>
      <w:r w:rsidR="001D2C6E">
        <w:t xml:space="preserve">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w:t>
      </w:r>
      <w:r w:rsidR="001D2C6E" w:rsidRPr="003400A5">
        <w:t xml:space="preserve">patterns </w:t>
      </w:r>
      <w:r w:rsidR="00CC1DA7" w:rsidRPr="003400A5">
        <w:t>uncovered, before highlighting a number of critical pitfalls that Westminster should be mindful of in Brexit negotiations to reduce the risk of a new initiation of conflict in the region.</w:t>
      </w:r>
      <w:r w:rsidR="001D2C6E" w:rsidRPr="003400A5">
        <w:t xml:space="preserve"> </w:t>
      </w:r>
    </w:p>
    <w:p w14:paraId="007DA5B5" w14:textId="5761B02A" w:rsidR="00203A77" w:rsidRPr="003400A5" w:rsidRDefault="00CC1DA7" w:rsidP="000B02C5">
      <w:pPr>
        <w:pStyle w:val="Heading2"/>
        <w:spacing w:line="480" w:lineRule="auto"/>
        <w:rPr>
          <w:color w:val="auto"/>
        </w:rPr>
      </w:pPr>
      <w:r w:rsidRPr="003400A5">
        <w:rPr>
          <w:color w:val="auto"/>
        </w:rPr>
        <w:t>Ireland, Nort</w:t>
      </w:r>
      <w:r w:rsidR="003400A5" w:rsidRPr="003400A5">
        <w:rPr>
          <w:color w:val="auto"/>
        </w:rPr>
        <w:t>hern Ireland, and the Troubles</w:t>
      </w:r>
    </w:p>
    <w:p w14:paraId="06F2D6CB" w14:textId="08BD7AD5" w:rsidR="00F130E9" w:rsidRDefault="00924589" w:rsidP="000B02C5">
      <w:pPr>
        <w:spacing w:line="480" w:lineRule="auto"/>
      </w:pPr>
      <w:r w:rsidRPr="003400A5">
        <w:t xml:space="preserve">The mathematical ecologist turned historian Peter </w:t>
      </w:r>
      <w:proofErr w:type="spellStart"/>
      <w:r w:rsidRPr="003400A5">
        <w:t>Turchin</w:t>
      </w:r>
      <w:proofErr w:type="spellEnd"/>
      <w:r w:rsidRPr="003400A5">
        <w:t xml:space="preserve"> has </w:t>
      </w:r>
      <w:r w:rsidR="0062486B" w:rsidRPr="003400A5">
        <w:t xml:space="preserve">argued that one of the central challenges in the establishment and maintenance of complex, large, hierarchical societies – </w:t>
      </w:r>
      <w:r w:rsidR="006764AA" w:rsidRPr="003400A5">
        <w:t xml:space="preserve">states and </w:t>
      </w:r>
      <w:r w:rsidR="0062486B" w:rsidRPr="003400A5">
        <w:t xml:space="preserve">empires </w:t>
      </w:r>
      <w:r w:rsidR="0062486B">
        <w:t xml:space="preserve">– </w:t>
      </w:r>
      <w:r w:rsidR="006764AA">
        <w:t xml:space="preserve">is </w:t>
      </w:r>
      <w:r w:rsidR="0062486B">
        <w:t xml:space="preserve">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lastRenderedPageBreak/>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w:t>
      </w:r>
      <w:r w:rsidR="00A30D59" w:rsidRPr="00A30D59">
        <w:rPr>
          <w:noProof/>
        </w:rPr>
        <w:t>(Turchin &amp; Gavrilets, 2009)</w:t>
      </w:r>
      <w:r w:rsidR="00A30D59">
        <w:t xml:space="preserve"> </w:t>
      </w:r>
      <w:r w:rsidR="003D0EC1">
        <w:t xml:space="preserve">[p.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A30D59">
        <w:t>metaethnic</w:t>
      </w:r>
      <w:proofErr w:type="spellEnd"/>
      <w:r w:rsidR="003D0EC1" w:rsidRPr="00A30D59">
        <w:t xml:space="preserve"> </w:t>
      </w:r>
      <w:r w:rsidR="003D0EC1">
        <w:t>frontiers form</w:t>
      </w:r>
      <w:r w:rsidR="00F130E9">
        <w:t xml:space="preserve">, and at these frontiers competition and conflict between societies is often intense.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rsidR="00F130E9">
        <w:t>metaethnic</w:t>
      </w:r>
      <w:proofErr w:type="spellEnd"/>
      <w:r w:rsidR="00F130E9">
        <w:t xml:space="preserve"> frontier</w:t>
      </w:r>
      <w:r w:rsidR="00CB6062">
        <w:t xml:space="preserve"> in the island of Ireland</w:t>
      </w:r>
      <w:r w:rsidR="00F130E9">
        <w:t>, demarcated along Catholic-Protestant religious distinction, were thus centuries in the making</w:t>
      </w:r>
      <w:r w:rsidR="00CB6062">
        <w:t xml:space="preserve">. </w:t>
      </w:r>
    </w:p>
    <w:p w14:paraId="331DF0CD" w14:textId="3CCAD0E1" w:rsidR="00CB6062" w:rsidRDefault="00CB6062" w:rsidP="000B02C5">
      <w:pPr>
        <w:spacing w:line="480" w:lineRule="auto"/>
      </w:pPr>
      <w:r>
        <w:t xml:space="preserve">Within the political organs of </w:t>
      </w:r>
      <w:r w:rsidR="006764AA">
        <w:t xml:space="preserve">Ireland under the British Empire - </w:t>
      </w:r>
      <w:r>
        <w:t>an imperious, expansionist state united by Protestant identity</w:t>
      </w:r>
      <w:r w:rsidR="006764AA">
        <w:t xml:space="preserve"> -</w:t>
      </w:r>
      <w:r>
        <w:t xml:space="preserve"> positions for Catholics were limited, and there were concerns amongst British imperialists that Ireland could be used as a cultural and potentially military ‘back door’ through which the Catholic Empires could undermine British imperial power and influence. Ireland thus held an ambivalent position within the British Empire, geographically proximate yet culturally distant, a ‘colony within the core’. Many of the patterns of political control and population management developed in the case of Ireland formed a blueprint for </w:t>
      </w:r>
      <w:r w:rsidR="006764AA">
        <w:t xml:space="preserve">later </w:t>
      </w:r>
      <w:r>
        <w:t xml:space="preserve">British colonialism. </w:t>
      </w:r>
      <w:r w:rsidRPr="00CB6062">
        <w:rPr>
          <w:noProof/>
        </w:rPr>
        <w:t>(Anderson &amp; O’Dowd, 2007)</w:t>
      </w:r>
    </w:p>
    <w:p w14:paraId="46850601" w14:textId="0618AB36" w:rsidR="003426AF" w:rsidRDefault="005E7056" w:rsidP="000B02C5">
      <w:pPr>
        <w:spacing w:line="480" w:lineRule="auto"/>
      </w:pPr>
      <w:r>
        <w:t xml:space="preserve">The </w:t>
      </w:r>
      <w:r w:rsidR="007232AE">
        <w:t xml:space="preserve">Great Famine of the 1840s </w:t>
      </w:r>
      <w:r w:rsidR="006764AA">
        <w:t xml:space="preserve">led </w:t>
      </w:r>
      <w:r w:rsidR="007232AE">
        <w:t xml:space="preserve">to mass emigration and population decline. </w:t>
      </w:r>
      <w:r>
        <w:t>B</w:t>
      </w:r>
      <w:r w:rsidR="007232AE">
        <w:t>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w:t>
      </w:r>
      <w:r w:rsidR="00266368">
        <w:lastRenderedPageBreak/>
        <w:t xml:space="preserve">a failed coup attempt and were executed. </w:t>
      </w:r>
      <w:r>
        <w:t>I</w:t>
      </w:r>
      <w:r w:rsidR="00266368">
        <w:t xml:space="preserve">n 1918 Sinn </w:t>
      </w:r>
      <w:proofErr w:type="spellStart"/>
      <w:r w:rsidR="00266368" w:rsidRPr="00266368">
        <w:t>Féin</w:t>
      </w:r>
      <w:proofErr w:type="spellEnd"/>
      <w:r w:rsidR="00266368">
        <w:t xml:space="preserve"> were elected with more than three quarters of Irish seats in Westminster</w:t>
      </w:r>
      <w:r w:rsidR="006764AA">
        <w:t>,</w:t>
      </w:r>
      <w:r w:rsidR="00266368">
        <w:t xml:space="preserve"> civil war intensified, and the paramilitary Irish Republican Army (IRA) fought a guerrilla war into the 1920s. Ireland was partitioned,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01B236BC" w:rsidR="003426AF" w:rsidRDefault="00023023" w:rsidP="000B02C5">
      <w:pPr>
        <w:spacing w:line="480" w:lineRule="auto"/>
      </w:pPr>
      <w:r w:rsidRPr="00023023">
        <w:rPr>
          <w:noProof/>
        </w:rPr>
        <w:t>(Anderson &amp; O’Dowd, 2007)</w:t>
      </w:r>
      <w:r w:rsidR="003426AF">
        <w:t xml:space="preserve"> summarise the legacy of the establishment of the Northern Irish border as follows:</w:t>
      </w:r>
    </w:p>
    <w:p w14:paraId="2387C1DA" w14:textId="1B57D829" w:rsidR="005F5990" w:rsidRDefault="003426AF" w:rsidP="000B02C5">
      <w:pPr>
        <w:spacing w:line="480" w:lineRule="auto"/>
        <w:ind w:left="720"/>
      </w:pPr>
      <w:r>
        <w:t xml:space="preserve">Under one-party unionist rule for 50 years, Northern Ireland </w:t>
      </w:r>
      <w:r w:rsidR="006764AA">
        <w:t xml:space="preserve">proved </w:t>
      </w:r>
      <w:r>
        <w:t xml:space="preserve">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w:t>
      </w:r>
      <w:r w:rsidR="005E7056">
        <w:t xml:space="preserve"> […] </w:t>
      </w:r>
      <w:r>
        <w:t>The eruption of ethno-national violence a half-century after partition was part of the imperial legacy. [p. 947]</w:t>
      </w:r>
    </w:p>
    <w:p w14:paraId="4145393A" w14:textId="3ED11B3B" w:rsidR="003426AF" w:rsidRDefault="008D1A01" w:rsidP="000B02C5">
      <w:pPr>
        <w:spacing w:line="480" w:lineRule="auto"/>
      </w:pPr>
      <w:r>
        <w:t xml:space="preserve">In </w:t>
      </w:r>
      <w:r w:rsidR="003426AF">
        <w:t xml:space="preserve">the late 1960s a Catholic protest movement emerged, inspired by the civil rights’ movement in the United States, prompting an often violent Protestant counter-movement opposed to Catholic marches, leading to widespread clashes between sides. </w:t>
      </w:r>
      <w:r>
        <w:t xml:space="preserve">Such </w:t>
      </w:r>
      <w:r w:rsidR="003426AF">
        <w:t xml:space="preserve">clashes could not be controlled by the police forces, and the British Army were mobilised. The IRA was conflicted in its response to both the Army presence and Protestant reprisals, and in 1969 split into the less-militant Official IRA (OIRA), and the more militant Provisional IRA (PIRA). The Army, the OIRA and the PIRA competed to win </w:t>
      </w:r>
      <w:r w:rsidR="003426AF">
        <w:lastRenderedPageBreak/>
        <w:t xml:space="preserve">favour and appear legitimate from the perspective of Catholic communities. Army attempts to disarm Catholic communities, combined with a lack of success defending them, further acted to delegitimise the Army amongst affected Catholic communities. </w:t>
      </w:r>
      <w:r w:rsidR="00975750">
        <w:t>T</w:t>
      </w:r>
      <w:r w:rsidR="003426AF">
        <w:t>he PIRA then began attacking the Army in 1971</w:t>
      </w:r>
      <w:r>
        <w:t xml:space="preserve">, and internment </w:t>
      </w:r>
      <w:r w:rsidR="003426AF">
        <w:t>swiftly followed</w:t>
      </w:r>
      <w:r w:rsidR="006764AA">
        <w:t>,</w:t>
      </w:r>
      <w:r w:rsidR="003426AF">
        <w:t xml:space="preserve"> leading to protests in which 23 people died</w:t>
      </w:r>
      <w:r w:rsidR="006764AA">
        <w:t>;</w:t>
      </w:r>
      <w:r w:rsidR="003426AF">
        <w:t xml:space="preserve"> </w:t>
      </w:r>
      <w:r w:rsidR="006764AA">
        <w:t xml:space="preserve">army </w:t>
      </w:r>
      <w:r w:rsidR="003426AF">
        <w:t xml:space="preserve">troop numbers increased, and PIRA bombings and killings intensified. </w:t>
      </w:r>
      <w:r w:rsidR="006C78A1">
        <w:t>After</w:t>
      </w:r>
      <w:r w:rsidR="003426AF">
        <w:t xml:space="preserve"> internment</w:t>
      </w:r>
      <w:r w:rsidR="006C78A1">
        <w:t>,</w:t>
      </w:r>
      <w:r w:rsidR="003426AF">
        <w:t xml:space="preserve"> amity then further increased through the deployment and actions of the Parachute Regiment (‘the Paras’)</w:t>
      </w:r>
      <w:r w:rsidR="000B02C5">
        <w:t xml:space="preserve">, </w:t>
      </w:r>
      <w:r w:rsidR="003426AF">
        <w:t xml:space="preserve">who </w:t>
      </w:r>
      <w:r w:rsidR="003426AF" w:rsidRPr="00A30D59">
        <w:t>faced a 7,000-strong Catholic civil rights march on 13 January 1972, ‘Bloody Sunday’, and shot dead 14 people later found to be unarmed. This event, more than any other, can be seen to have ignited the decades of sectarian conflict that followed.</w:t>
      </w:r>
      <w:r w:rsidR="00A30D59">
        <w:t xml:space="preserve"> </w:t>
      </w:r>
      <w:r w:rsidR="00A30D59" w:rsidRPr="00A30D59">
        <w:rPr>
          <w:noProof/>
        </w:rPr>
        <w:t>(Gerike et al., 2016; Thornton, 2007)</w:t>
      </w:r>
    </w:p>
    <w:p w14:paraId="20C047FF" w14:textId="681F9BF3" w:rsidR="001840AD" w:rsidRPr="00A30D59" w:rsidRDefault="001840AD" w:rsidP="001840AD">
      <w:pPr>
        <w:pStyle w:val="Heading2"/>
        <w:spacing w:line="480" w:lineRule="auto"/>
        <w:rPr>
          <w:color w:val="auto"/>
        </w:rPr>
      </w:pPr>
      <w:r>
        <w:rPr>
          <w:color w:val="auto"/>
        </w:rPr>
        <w:t>Operationalising an impulse-decay pattern in death rates</w:t>
      </w:r>
    </w:p>
    <w:p w14:paraId="677F7BE1" w14:textId="433DCF21" w:rsidR="001840AD" w:rsidRPr="00A30D59" w:rsidRDefault="001840AD" w:rsidP="000B02C5">
      <w:pPr>
        <w:spacing w:line="480" w:lineRule="auto"/>
      </w:pPr>
      <w:r>
        <w:t>Within the following model, a ‘Troubles’ parameter, T(t), will be introduced which aims to represent a particular form of mortality risk change that appears consistent with both domain knowledge of this history of the conflict as described above, and also the particular pattern of change in age-specific mortality as shown below. This parameter operationalises the concept that the Troubles followed a single impulse-decay pattern over time, with events in the years prior to 1972 leading to a tipping point, an initiation in sectarian conflict that, once initiated, was then sustaine</w:t>
      </w:r>
      <w:r w:rsidR="00657D70">
        <w:t>d through tit-for-tat violence</w:t>
      </w:r>
      <w:r w:rsidR="00EB4CAE">
        <w:t>, as might be expected in sectarian conflict in which violence from one side is likely to be met with reprisal attacks from the other side</w:t>
      </w:r>
      <w:r w:rsidR="00657D70">
        <w:t xml:space="preserve">. Visually, this </w:t>
      </w:r>
      <w:r>
        <w:t xml:space="preserve">a change in </w:t>
      </w:r>
      <w:r w:rsidR="00EB4CAE">
        <w:t>underlying conflict intensity is shown in figure 2a below, in which there is first a sudden increase in intensity, followed by a slow decay in this intensity over time.</w:t>
      </w:r>
    </w:p>
    <w:p w14:paraId="23599178" w14:textId="2087D06C" w:rsidR="00F1537E" w:rsidRPr="00A30D59" w:rsidRDefault="00CC1DA7" w:rsidP="000B02C5">
      <w:pPr>
        <w:pStyle w:val="Heading2"/>
        <w:spacing w:line="480" w:lineRule="auto"/>
        <w:rPr>
          <w:color w:val="auto"/>
        </w:rPr>
      </w:pPr>
      <w:r w:rsidRPr="00A30D59">
        <w:rPr>
          <w:color w:val="auto"/>
        </w:rPr>
        <w:t xml:space="preserve">Data and </w:t>
      </w:r>
      <w:r w:rsidR="00F1537E" w:rsidRPr="00A30D59">
        <w:rPr>
          <w:color w:val="auto"/>
        </w:rPr>
        <w:t xml:space="preserve">Methods </w:t>
      </w:r>
    </w:p>
    <w:p w14:paraId="354E3D0E" w14:textId="4A2E3959" w:rsidR="00500E6F" w:rsidRDefault="00842964" w:rsidP="000B02C5">
      <w:pPr>
        <w:spacing w:line="480" w:lineRule="auto"/>
      </w:pPr>
      <w:r w:rsidRPr="00A30D59">
        <w:t>Data on all-cause mortality and population size, disaggregated by gender, age in single years and year</w:t>
      </w:r>
      <w:r>
        <w:t xml:space="preserve">, were extracted from the Human Mortality Database (HMD). </w:t>
      </w:r>
      <w:r w:rsidR="006D095E" w:rsidRPr="006D095E">
        <w:rPr>
          <w:noProof/>
        </w:rPr>
        <w:t>(University of California, 2017)</w:t>
      </w:r>
      <w:r w:rsidR="006D095E">
        <w:t xml:space="preserve"> </w:t>
      </w:r>
      <w:r>
        <w:t xml:space="preserve">Mortality rates were calculated by dividing death counts by population exposure (adjusted </w:t>
      </w:r>
      <w:r>
        <w:lastRenderedPageBreak/>
        <w:t xml:space="preserve">population counts). </w:t>
      </w:r>
      <w:r w:rsidR="00500E6F">
        <w:t xml:space="preserve">All data management and analyses were performed using the R statistical programming environment. </w:t>
      </w:r>
      <w:r w:rsidR="006D095E" w:rsidRPr="006D095E">
        <w:rPr>
          <w:noProof/>
        </w:rPr>
        <w:t>(R Core Team, 2016)</w:t>
      </w:r>
    </w:p>
    <w:p w14:paraId="3AE0F486" w14:textId="6D4890CF" w:rsidR="00500E6F" w:rsidRDefault="00500E6F" w:rsidP="000B02C5">
      <w:pPr>
        <w:spacing w:line="480" w:lineRule="auto"/>
      </w:pPr>
      <w:r>
        <w:t>In the first stage of the analysis</w:t>
      </w:r>
      <w:r w:rsidR="00842964">
        <w:t>, mortality rates by age and year were explored visually using level</w:t>
      </w:r>
      <w:r>
        <w:t xml:space="preserve"> </w:t>
      </w:r>
      <w:r w:rsidR="00842964">
        <w:t xml:space="preserve">plots in which each column is a different year, each row a different age, and each cell is a mortality rate </w:t>
      </w:r>
      <w:r>
        <w:t xml:space="preserve">or log mortality rate </w:t>
      </w:r>
      <w:r w:rsidR="00842964">
        <w:t xml:space="preserve">for a specific </w:t>
      </w:r>
      <w:r>
        <w:t xml:space="preserve">combination of year and age in single years. This arrangement is known as a Lexis surface. </w:t>
      </w:r>
      <w:r w:rsidR="009140E4" w:rsidRPr="009140E4">
        <w:rPr>
          <w:noProof/>
        </w:rPr>
        <w:t>(</w:t>
      </w:r>
      <w:r w:rsidR="0023698D">
        <w:rPr>
          <w:noProof/>
        </w:rPr>
        <w:t>AUTHOR</w:t>
      </w:r>
      <w:r w:rsidR="009140E4" w:rsidRPr="009140E4">
        <w:rPr>
          <w:noProof/>
        </w:rPr>
        <w:t>, 2014; Vaupel, Wang, Andreev, &amp; Yashin, 1997)</w:t>
      </w:r>
    </w:p>
    <w:p w14:paraId="3E2E73E6" w14:textId="180EF47D" w:rsidR="00F1537E" w:rsidRDefault="00500E6F" w:rsidP="000B02C5">
      <w:pPr>
        <w:spacing w:line="480" w:lineRule="auto"/>
      </w:pPr>
      <w:r>
        <w:t xml:space="preserve">In the second stage of the analysis, level plots for males aged between 15 and 45 years inclusive </w:t>
      </w:r>
      <w:r w:rsidR="0049186E">
        <w:t xml:space="preserve">were </w:t>
      </w:r>
      <w:r>
        <w:t>pr</w:t>
      </w:r>
      <w:r w:rsidR="0049186E">
        <w:t xml:space="preserve">oduced. This gender and age range was focused on as </w:t>
      </w:r>
      <w:r>
        <w:t>a mortality pattern that appears attributable to the conflict post 1972 appears very clearly</w:t>
      </w:r>
      <w:r w:rsidR="0049186E">
        <w:t xml:space="preserve"> for this group</w:t>
      </w:r>
      <w:r>
        <w:t xml:space="preserve">, whereas in females and males at other ages no similar pattern is apparent. </w:t>
      </w:r>
    </w:p>
    <w:p w14:paraId="498E5C27" w14:textId="6C73CE2F" w:rsidR="0049186E" w:rsidRDefault="0049186E" w:rsidP="000B02C5">
      <w:pPr>
        <w:spacing w:line="480" w:lineRule="auto"/>
      </w:pPr>
      <w:r>
        <w:t>In the third stage of the analysis, a model was developed which aims to reproduce the main features of the level plot of mortality values over this Lexis surface, in which conflict-attributable pattern of excess deaths is modelled as a separate variable. The final model specification was developed by comparing the penalised model fit of different model specifications using AIC and BIC, as well as t</w:t>
      </w:r>
      <w:r w:rsidR="006D78AC">
        <w:t xml:space="preserve">he root mean square (RMS) error, and by visually exploring both the Lexis surfaces of predicted values, and of residuals (differences between predicted and actual values) to assess whether the model appears to capture the most salient features of the Lexis surface of the data itself. </w:t>
      </w:r>
      <w:r w:rsidR="006D095E" w:rsidRPr="006D095E">
        <w:rPr>
          <w:noProof/>
        </w:rPr>
        <w:t>(Akaike, 1974)</w:t>
      </w:r>
      <w:r w:rsidR="006D095E">
        <w:t xml:space="preserve"> </w:t>
      </w:r>
      <w:r w:rsidR="006D78AC">
        <w:t xml:space="preserve">The </w:t>
      </w:r>
      <w:r w:rsidR="005D4F12">
        <w:t>model specification is as follows</w:t>
      </w:r>
      <w:r w:rsidR="007029A2">
        <w:t>:</w:t>
      </w:r>
    </w:p>
    <w:p w14:paraId="39394AFF" w14:textId="69EBFFF6" w:rsidR="005D4F12" w:rsidRPr="005D4F12" w:rsidRDefault="00DC695A" w:rsidP="000B02C5">
      <w:pPr>
        <w:spacing w:line="48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0, i</m:t>
              </m:r>
            </m:sub>
            <m:sup>
              <m:d>
                <m:dPr>
                  <m:ctrlPr>
                    <w:rPr>
                      <w:rFonts w:ascii="Cambria Math" w:hAnsi="Cambria Math"/>
                      <w:i/>
                    </w:rPr>
                  </m:ctrlPr>
                </m:dPr>
                <m:e>
                  <m:r>
                    <w:rPr>
                      <w:rFonts w:ascii="Cambria Math" w:hAnsi="Cambria Math"/>
                    </w:rPr>
                    <m:t>P</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1, i</m:t>
              </m:r>
            </m:sub>
            <m:sup>
              <m:d>
                <m:dPr>
                  <m:ctrlPr>
                    <w:rPr>
                      <w:rFonts w:ascii="Cambria Math" w:hAnsi="Cambria Math"/>
                      <w:i/>
                    </w:rPr>
                  </m:ctrlPr>
                </m:dPr>
                <m:e>
                  <m:r>
                    <w:rPr>
                      <w:rFonts w:ascii="Cambria Math" w:hAnsi="Cambria Math"/>
                    </w:rPr>
                    <m:t>P</m:t>
                  </m:r>
                </m:e>
              </m:d>
            </m:sup>
          </m:sSubSup>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T</m:t>
          </m:r>
          <m:d>
            <m:dPr>
              <m:ctrlPr>
                <w:rPr>
                  <w:rFonts w:ascii="Cambria Math" w:hAnsi="Cambria Math"/>
                  <w:i/>
                </w:rPr>
              </m:ctrlPr>
            </m:dPr>
            <m:e>
              <m:r>
                <w:rPr>
                  <w:rFonts w:ascii="Cambria Math" w:hAnsi="Cambria Math"/>
                </w:rPr>
                <m:t>t</m:t>
              </m:r>
            </m:e>
          </m:d>
        </m:oMath>
      </m:oMathPara>
    </w:p>
    <w:p w14:paraId="158813DC" w14:textId="29B86CB8" w:rsidR="005D4F12" w:rsidRPr="005D4F12" w:rsidRDefault="005D4F12" w:rsidP="000B02C5">
      <w:pPr>
        <w:spacing w:line="48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(t-1972)</m:t>
              </m:r>
            </m:sup>
          </m:sSup>
          <m:r>
            <w:rPr>
              <w:rFonts w:ascii="Cambria Math" w:eastAsiaTheme="minorEastAsia" w:hAnsi="Cambria Math"/>
            </w:rPr>
            <m:t xml:space="preserve"> IFF t≥1972;0 otherwise</m:t>
          </m:r>
        </m:oMath>
      </m:oMathPara>
    </w:p>
    <w:p w14:paraId="6DC7AAC5" w14:textId="07A9E75F" w:rsidR="007B2477" w:rsidRDefault="007029A2" w:rsidP="000B02C5">
      <w:pPr>
        <w:spacing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indicates the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oMath>
      <w:r>
        <w:rPr>
          <w:rFonts w:eastAsiaTheme="minorEastAsia"/>
        </w:rPr>
        <w:t xml:space="preserve"> mortality rate for males of age </w:t>
      </w:r>
      <m:oMath>
        <m:r>
          <w:rPr>
            <w:rFonts w:ascii="Cambria Math" w:hAnsi="Cambria Math"/>
          </w:rPr>
          <m:t>i</m:t>
        </m:r>
      </m:oMath>
      <w:r>
        <w:rPr>
          <w:rFonts w:eastAsiaTheme="minorEastAsia"/>
        </w:rPr>
        <w:t xml:space="preserve"> in year </w:t>
      </w:r>
      <m:oMath>
        <m:r>
          <w:rPr>
            <w:rFonts w:ascii="Cambria Math" w:hAnsi="Cambria Math"/>
          </w:rPr>
          <m:t>t</m:t>
        </m:r>
      </m:oMath>
      <w:r>
        <w:rPr>
          <w:rFonts w:eastAsiaTheme="minorEastAsia"/>
        </w:rPr>
        <w:t xml:space="preserve">, the superscript </w:t>
      </w:r>
      <m:oMath>
        <m:d>
          <m:dPr>
            <m:ctrlPr>
              <w:rPr>
                <w:rFonts w:ascii="Cambria Math" w:hAnsi="Cambria Math"/>
                <w:i/>
              </w:rPr>
            </m:ctrlPr>
          </m:dPr>
          <m:e>
            <m:r>
              <w:rPr>
                <w:rFonts w:ascii="Cambria Math" w:hAnsi="Cambria Math"/>
              </w:rPr>
              <m:t>P</m:t>
            </m:r>
          </m:e>
        </m:d>
      </m:oMath>
      <w:r>
        <w:rPr>
          <w:rFonts w:eastAsiaTheme="minorEastAsia"/>
        </w:rPr>
        <w:t xml:space="preserve"> indicates which of three distinct phases in mortality improvement to which year </w:t>
      </w:r>
      <m:oMath>
        <m:r>
          <w:rPr>
            <w:rFonts w:ascii="Cambria Math" w:hAnsi="Cambria Math"/>
          </w:rPr>
          <m:t>t</m:t>
        </m:r>
      </m:oMath>
      <w:r>
        <w:rPr>
          <w:rFonts w:eastAsiaTheme="minorEastAsia"/>
        </w:rPr>
        <w:t xml:space="preserve"> belongs, and </w:t>
      </w:r>
      <m:oMath>
        <m:sSup>
          <m:sSupPr>
            <m:ctrlPr>
              <w:rPr>
                <w:rFonts w:ascii="Cambria Math" w:hAnsi="Cambria Math"/>
                <w:i/>
              </w:rPr>
            </m:ctrlPr>
          </m:sSupPr>
          <m:e>
            <m:r>
              <w:rPr>
                <w:rFonts w:ascii="Cambria Math" w:hAnsi="Cambria Math"/>
              </w:rPr>
              <m:t>t</m:t>
            </m:r>
          </m:e>
          <m:sup>
            <m:r>
              <w:rPr>
                <w:rFonts w:ascii="Cambria Math" w:hAnsi="Cambria Math"/>
              </w:rPr>
              <m:t>(P)</m:t>
            </m:r>
          </m:sup>
        </m:sSup>
      </m:oMath>
      <w:r>
        <w:rPr>
          <w:rFonts w:eastAsiaTheme="minorEastAsia"/>
        </w:rPr>
        <w:t xml:space="preserve"> indicates the number of years since the start of the mortality improvement phase to which year </w:t>
      </w:r>
      <m:oMath>
        <m:r>
          <w:rPr>
            <w:rFonts w:ascii="Cambria Math" w:hAnsi="Cambria Math"/>
          </w:rPr>
          <m:t>t</m:t>
        </m:r>
      </m:oMath>
      <w:r>
        <w:rPr>
          <w:rFonts w:eastAsiaTheme="minorEastAsia"/>
        </w:rPr>
        <w:t xml:space="preserve"> belongs. </w:t>
      </w:r>
      <w:r w:rsidR="00AD3D51">
        <w:rPr>
          <w:rFonts w:eastAsiaTheme="minorEastAsia"/>
        </w:rPr>
        <w:t xml:space="preserve">(Phase 3 was the ‘reference period’ in the regressions used.) </w:t>
      </w:r>
      <w:r w:rsidR="007B2477">
        <w:rPr>
          <w:rFonts w:eastAsiaTheme="minorEastAsia"/>
        </w:rPr>
        <w:t xml:space="preserve">The three mortality </w:t>
      </w:r>
      <w:r w:rsidR="007B2477">
        <w:rPr>
          <w:rFonts w:eastAsiaTheme="minorEastAsia"/>
        </w:rPr>
        <w:lastRenderedPageBreak/>
        <w:t xml:space="preserve">improvement phases, identified through visual exploration of the Lexis surfaces, are: Phase One: 1922 to 1938 inclusive; Phase Two: 1939 to 1955 inclusive; and Phase Three: 1956 and later. Within these three phases, the rate of age specific mortality improvement tended to be greatest in Phase Two (1939 to 1955), despite this period including World War Two. </w:t>
      </w:r>
    </w:p>
    <w:p w14:paraId="4E69A5E8" w14:textId="54E93EC7" w:rsidR="005D4F12" w:rsidRDefault="007029A2" w:rsidP="000B02C5">
      <w:pPr>
        <w:spacing w:line="480" w:lineRule="auto"/>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function which models the mortality effect of the conflict. It assumes that the additional mortality effect is greatest in the first year of the conflict, then decays exponentially with each subsequent year. The rate of decay in additional mortality is modelled using the </w:t>
      </w:r>
      <w:proofErr w:type="gramStart"/>
      <w:r>
        <w:rPr>
          <w:rFonts w:eastAsiaTheme="minorEastAsia"/>
        </w:rPr>
        <w:t xml:space="preserve">parameter </w:t>
      </w:r>
      <w:proofErr w:type="gramEnd"/>
      <m:oMath>
        <m:r>
          <w:rPr>
            <w:rFonts w:ascii="Cambria Math" w:eastAsiaTheme="minorEastAsia" w:hAnsi="Cambria Math"/>
          </w:rPr>
          <m:t>k</m:t>
        </m:r>
      </m:oMath>
      <w:r w:rsidR="007B2477">
        <w:rPr>
          <w:rFonts w:eastAsiaTheme="minorEastAsia"/>
        </w:rPr>
        <w:t>, and can have any value from 0 to 1 inclusive</w:t>
      </w:r>
      <w:r>
        <w:rPr>
          <w:rFonts w:eastAsiaTheme="minorEastAsia"/>
        </w:rPr>
        <w:t xml:space="preserve">. In the fourth phase of the analysis, </w:t>
      </w:r>
      <w:r w:rsidR="007B2477">
        <w:rPr>
          <w:rFonts w:eastAsiaTheme="minorEastAsia"/>
        </w:rPr>
        <w:t xml:space="preserve">numerical optimisation is used to select k such that AIC (penalised model fit) is minimised. Given </w:t>
      </w:r>
      <m:oMath>
        <m:r>
          <w:rPr>
            <w:rFonts w:ascii="Cambria Math" w:eastAsiaTheme="minorEastAsia" w:hAnsi="Cambria Math"/>
          </w:rPr>
          <m:t>k</m:t>
        </m:r>
      </m:oMath>
      <w:r w:rsidR="000E2BEA">
        <w:rPr>
          <w:rFonts w:eastAsiaTheme="minorEastAsia"/>
        </w:rPr>
        <w:t>, the ‘half life’ of the conflict, i.e. number of years it takes for the additional</w:t>
      </w:r>
      <w:r w:rsidR="00B03DB4">
        <w:rPr>
          <w:rFonts w:eastAsiaTheme="minorEastAsia"/>
        </w:rPr>
        <w:t xml:space="preserve"> log</w:t>
      </w:r>
      <w:r w:rsidR="000E2BEA">
        <w:rPr>
          <w:rFonts w:eastAsiaTheme="minorEastAsia"/>
        </w:rPr>
        <w:t xml:space="preserve"> mortality risk to fall by half, can also be calculated using the formula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(1-k)</m:t>
                </m:r>
              </m:e>
            </m:func>
          </m:den>
        </m:f>
      </m:oMath>
      <w:r w:rsidR="000E2BEA">
        <w:rPr>
          <w:rFonts w:eastAsiaTheme="minorEastAsia"/>
        </w:rPr>
        <w:t xml:space="preserve">. </w:t>
      </w:r>
    </w:p>
    <w:p w14:paraId="627D9036" w14:textId="6DA083EE" w:rsidR="007B2477" w:rsidRPr="00A30D59" w:rsidRDefault="007B2477" w:rsidP="000B02C5">
      <w:pPr>
        <w:spacing w:line="480" w:lineRule="auto"/>
        <w:rPr>
          <w:rFonts w:eastAsiaTheme="minorEastAsia"/>
        </w:rPr>
      </w:pPr>
      <w:r>
        <w:rPr>
          <w:rFonts w:eastAsiaTheme="minorEastAsia"/>
        </w:rPr>
        <w:t xml:space="preserve">Finally, in the fifth phase of the analysis, the numbers of deaths at each age and in each year are estimated by applying the model’s predicted mortality risks to the populations exposed to these </w:t>
      </w:r>
      <w:r w:rsidR="000E2BEA">
        <w:rPr>
          <w:rFonts w:eastAsiaTheme="minorEastAsia"/>
        </w:rPr>
        <w:t>risks</w:t>
      </w:r>
      <w:r w:rsidR="00C371AF">
        <w:rPr>
          <w:rFonts w:eastAsiaTheme="minorEastAsia"/>
        </w:rPr>
        <w:t>, i.e</w:t>
      </w:r>
      <w:proofErr w:type="gramStart"/>
      <w:r w:rsidR="00C371AF">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(t)</m:t>
        </m:r>
      </m:oMath>
      <w:r w:rsidR="00C371AF">
        <w:rPr>
          <w:rFonts w:eastAsiaTheme="minorEastAsia"/>
        </w:rPr>
        <w:t xml:space="preserve"> is the number of deaths at age</w:t>
      </w:r>
      <m:oMath>
        <m:r>
          <w:rPr>
            <w:rFonts w:ascii="Cambria Math" w:eastAsiaTheme="minorEastAsia" w:hAnsi="Cambria Math"/>
          </w:rPr>
          <m:t xml:space="preserve"> i</m:t>
        </m:r>
      </m:oMath>
      <w:r w:rsidR="00C371AF">
        <w:rPr>
          <w:rFonts w:eastAsiaTheme="minorEastAsia"/>
        </w:rPr>
        <w:t xml:space="preserve"> and in year </w:t>
      </w:r>
      <m:oMath>
        <m:r>
          <w:rPr>
            <w:rFonts w:ascii="Cambria Math" w:eastAsiaTheme="minorEastAsia" w:hAnsi="Cambria Math"/>
          </w:rPr>
          <m:t>t</m:t>
        </m:r>
      </m:oMath>
      <w:r w:rsidR="00C371AF">
        <w:rPr>
          <w:rFonts w:eastAsiaTheme="minorEastAsia"/>
        </w:rPr>
        <w:t xml:space="preserve"> under the active conflict scenario A,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C371AF">
        <w:rPr>
          <w:rFonts w:eastAsiaTheme="minorEastAsia"/>
        </w:rPr>
        <w:t xml:space="preserve"> indicates the size of the population at this age and in this </w:t>
      </w:r>
      <w:r w:rsidR="00C371AF" w:rsidRPr="00A30D59">
        <w:rPr>
          <w:rFonts w:eastAsiaTheme="minorEastAsia"/>
        </w:rPr>
        <w:t>year exposed to the mortality risk</w:t>
      </w:r>
      <w:r w:rsidR="000E2BEA" w:rsidRPr="00A30D59">
        <w:rPr>
          <w:rFonts w:eastAsiaTheme="minorEastAsia"/>
        </w:rPr>
        <w:t xml:space="preserve">. A counterfactual surface of risks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(t)</m:t>
        </m:r>
      </m:oMath>
      <w:r w:rsidR="00C371AF" w:rsidRPr="00A30D59">
        <w:rPr>
          <w:rFonts w:eastAsiaTheme="minorEastAsia"/>
        </w:rPr>
        <w:t xml:space="preserve"> </w:t>
      </w:r>
      <w:r w:rsidR="000E2BEA" w:rsidRPr="00A30D59">
        <w:rPr>
          <w:rFonts w:eastAsiaTheme="minorEastAsia"/>
        </w:rPr>
        <w:t xml:space="preserve">is modelled by setting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0E2BEA" w:rsidRPr="00A30D59">
        <w:rPr>
          <w:rFonts w:eastAsiaTheme="minorEastAsia"/>
        </w:rPr>
        <w:t xml:space="preserve"> to 0 in all years</w:t>
      </w:r>
      <w:r w:rsidR="00C371AF" w:rsidRPr="00A30D59">
        <w:rPr>
          <w:rFonts w:eastAsiaTheme="minorEastAsia"/>
        </w:rPr>
        <w:t xml:space="preserve">. The total number of conflict-attributable deaths estimated by the model in this age range is then </w:t>
      </w:r>
      <w:r w:rsidR="003726C0" w:rsidRPr="00A30D59">
        <w:rPr>
          <w:rFonts w:eastAsiaTheme="minorEastAsia"/>
        </w:rPr>
        <w:t xml:space="preserve">the sum of differences in deaths estimated under both scenarios, i.e. </w:t>
      </w:r>
      <m:oMath>
        <m:nary>
          <m:naryPr>
            <m:chr m:val="∑"/>
            <m:limLoc m:val="subSup"/>
            <m:ctrlPr>
              <w:rPr>
                <w:rFonts w:ascii="Cambria Math" w:eastAsiaTheme="minorEastAsia" w:hAnsi="Cambria Math"/>
                <w:i/>
              </w:rPr>
            </m:ctrlPr>
          </m:naryPr>
          <m:sub>
            <m:r>
              <w:rPr>
                <w:rFonts w:ascii="Cambria Math" w:eastAsiaTheme="minorEastAsia" w:hAnsi="Cambria Math"/>
              </w:rPr>
              <m:t>i=15</m:t>
            </m:r>
          </m:sub>
          <m:sup>
            <m:r>
              <w:rPr>
                <w:rFonts w:ascii="Cambria Math" w:eastAsiaTheme="minorEastAsia" w:hAnsi="Cambria Math"/>
              </w:rPr>
              <m:t>45</m:t>
            </m:r>
          </m:sup>
          <m:e>
            <m:nary>
              <m:naryPr>
                <m:chr m:val="∑"/>
                <m:limLoc m:val="subSup"/>
                <m:ctrlPr>
                  <w:rPr>
                    <w:rFonts w:ascii="Cambria Math" w:eastAsiaTheme="minorEastAsia" w:hAnsi="Cambria Math"/>
                    <w:i/>
                  </w:rPr>
                </m:ctrlPr>
              </m:naryPr>
              <m:sub>
                <m:r>
                  <w:rPr>
                    <w:rFonts w:ascii="Cambria Math" w:eastAsiaTheme="minorEastAsia" w:hAnsi="Cambria Math"/>
                  </w:rPr>
                  <m:t>t=1922</m:t>
                </m:r>
              </m:sub>
              <m:sup>
                <m:r>
                  <w:rPr>
                    <w:rFonts w:ascii="Cambria Math" w:eastAsiaTheme="minorEastAsia" w:hAnsi="Cambria Math"/>
                  </w:rPr>
                  <m:t>2013</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A</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e>
        </m:nary>
      </m:oMath>
      <w:r w:rsidR="003726C0" w:rsidRPr="00A30D59">
        <w:rPr>
          <w:rFonts w:eastAsiaTheme="minorEastAsia"/>
        </w:rPr>
        <w:t>.</w:t>
      </w:r>
      <w:r w:rsidR="000E2BEA" w:rsidRPr="00A30D59">
        <w:rPr>
          <w:rFonts w:eastAsiaTheme="minorEastAsia"/>
        </w:rPr>
        <w:t xml:space="preserve"> </w:t>
      </w:r>
    </w:p>
    <w:p w14:paraId="17210717" w14:textId="772DF6FD" w:rsidR="00F1537E" w:rsidRPr="00A30D59" w:rsidRDefault="00F1537E" w:rsidP="000B02C5">
      <w:pPr>
        <w:pStyle w:val="Heading2"/>
        <w:spacing w:line="480" w:lineRule="auto"/>
        <w:rPr>
          <w:color w:val="auto"/>
        </w:rPr>
      </w:pPr>
      <w:r w:rsidRPr="00A30D59">
        <w:rPr>
          <w:color w:val="auto"/>
        </w:rPr>
        <w:t xml:space="preserve">Results </w:t>
      </w:r>
    </w:p>
    <w:p w14:paraId="6FD58C1E" w14:textId="21CEA7A4" w:rsidR="00A33838" w:rsidRPr="003400A5" w:rsidRDefault="0029467E" w:rsidP="003400A5">
      <w:pPr>
        <w:pStyle w:val="Heading3"/>
        <w:rPr>
          <w:color w:val="auto"/>
        </w:rPr>
      </w:pPr>
      <w:r w:rsidRPr="003400A5">
        <w:rPr>
          <w:color w:val="auto"/>
        </w:rPr>
        <w:t xml:space="preserve">Visual exploration of patterns </w:t>
      </w:r>
    </w:p>
    <w:p w14:paraId="6919AA3C" w14:textId="7D593867" w:rsidR="00F1537E" w:rsidRDefault="00720800" w:rsidP="000B02C5">
      <w:pPr>
        <w:spacing w:line="480" w:lineRule="auto"/>
      </w:pPr>
      <w:r w:rsidRPr="00A30D59">
        <w:t>Figure 1 shows the Lexis surfaces of log</w:t>
      </w:r>
      <w:r w:rsidRPr="00A30D59">
        <w:softHyphen/>
      </w:r>
      <w:r w:rsidRPr="00A30D59">
        <w:rPr>
          <w:vertAlign w:val="subscript"/>
        </w:rPr>
        <w:t>10</w:t>
      </w:r>
      <w:r w:rsidRPr="00A30D59">
        <w:t xml:space="preserve"> mortality rates for both genders and for each age between </w:t>
      </w:r>
      <w:proofErr w:type="spellStart"/>
      <w:r w:rsidRPr="00A30D59">
        <w:t>newborns</w:t>
      </w:r>
      <w:proofErr w:type="spellEnd"/>
      <w:r w:rsidRPr="00A30D59">
        <w:t xml:space="preserve"> and 90 years. </w:t>
      </w:r>
      <w:r w:rsidR="006C78A1" w:rsidRPr="00A30D59">
        <w:t>C</w:t>
      </w:r>
      <w:r w:rsidRPr="00A30D59">
        <w:t xml:space="preserve">ells are coloured according </w:t>
      </w:r>
      <w:r>
        <w:t xml:space="preserve">to mortality rate. The legend on the right show which colours correspond </w:t>
      </w:r>
      <w:r w:rsidR="006D095E">
        <w:t xml:space="preserve">to </w:t>
      </w:r>
      <w:r>
        <w:t xml:space="preserve">which mortality values. </w:t>
      </w:r>
      <w:r w:rsidR="008D1A01">
        <w:t>T</w:t>
      </w:r>
      <w:r>
        <w:t>he values on this legend indicate the ‘number of zeros’ associated with the mortality risk</w:t>
      </w:r>
      <w:r w:rsidR="008D1A01">
        <w:t>, with ranges from</w:t>
      </w:r>
      <w:r>
        <w:t xml:space="preserve"> 10</w:t>
      </w:r>
      <w:r>
        <w:rPr>
          <w:vertAlign w:val="superscript"/>
        </w:rPr>
        <w:t>0</w:t>
      </w:r>
      <w:r>
        <w:rPr>
          <w:vertAlign w:val="subscript"/>
        </w:rPr>
        <w:t xml:space="preserve"> </w:t>
      </w:r>
      <w:r>
        <w:t xml:space="preserve">or 1.0 risk for light blue at the top, </w:t>
      </w:r>
      <w:r>
        <w:lastRenderedPageBreak/>
        <w:t>then to 10</w:t>
      </w:r>
      <w:r>
        <w:rPr>
          <w:vertAlign w:val="superscript"/>
        </w:rPr>
        <w:t>-1</w:t>
      </w:r>
      <w:r>
        <w:t xml:space="preserve"> (one in ten) for lighter green shades, 10</w:t>
      </w:r>
      <w:r>
        <w:rPr>
          <w:vertAlign w:val="superscript"/>
        </w:rPr>
        <w:t>-2</w:t>
      </w:r>
      <w:r>
        <w:t xml:space="preserve"> (one-in-100) for lighter reds, </w:t>
      </w:r>
      <w:r w:rsidR="008D1A01">
        <w:t xml:space="preserve">to  </w:t>
      </w:r>
      <w:r>
        <w:t>10</w:t>
      </w:r>
      <w:r>
        <w:rPr>
          <w:vertAlign w:val="superscript"/>
        </w:rPr>
        <w:t>-5</w:t>
      </w:r>
      <w:r>
        <w:t xml:space="preserve"> (one in a million) for the brown shade at the bottom of the scale. </w:t>
      </w:r>
    </w:p>
    <w:p w14:paraId="570A10CB" w14:textId="20430F52" w:rsidR="003455A7" w:rsidRDefault="00B447E0" w:rsidP="000B02C5">
      <w:pPr>
        <w:spacing w:line="480" w:lineRule="auto"/>
        <w:sectPr w:rsidR="003455A7" w:rsidSect="001766BE">
          <w:footerReference w:type="default" r:id="rId8"/>
          <w:pgSz w:w="11906" w:h="16838"/>
          <w:pgMar w:top="1440" w:right="1440" w:bottom="1440" w:left="1440" w:header="708" w:footer="708" w:gutter="0"/>
          <w:cols w:space="708"/>
          <w:docGrid w:linePitch="360"/>
        </w:sectPr>
      </w:pPr>
      <w:r>
        <w:t>Figure 2</w:t>
      </w:r>
      <w:r w:rsidR="00EB4CAE">
        <w:t>b</w:t>
      </w:r>
      <w:r>
        <w:t xml:space="preserve"> provides a stylised ‘pen portrait’ of some of the main features seen in figure 1. As with in many other countries, there is a much sharper increase in mortality risk once males reach adulthood, not observed to the same extent in female. In more recent years this can be seen by noting that for males almost all purple cells are seen in childhood, with cells at older </w:t>
      </w:r>
      <w:proofErr w:type="gramStart"/>
      <w:r>
        <w:t>ages</w:t>
      </w:r>
      <w:proofErr w:type="gramEnd"/>
      <w:r>
        <w:t xml:space="preserve"> coloured light or dark orange. This broadly corresponds to somewhere between half an order of magnitude, to a full order of magnitude, increase in mortality risk after males reach adulthood compared with their risks in childhood. By contrast for females the difference in colour and shade in early adulthood is much less different to in childhood.</w:t>
      </w:r>
    </w:p>
    <w:p w14:paraId="008F5CB5" w14:textId="484D5B59" w:rsidR="003455A7" w:rsidRPr="00F60885" w:rsidRDefault="003455A7" w:rsidP="003455A7">
      <w:pPr>
        <w:spacing w:line="480" w:lineRule="auto"/>
        <w:jc w:val="center"/>
        <w:rPr>
          <w:i/>
        </w:rPr>
      </w:pPr>
      <w:r w:rsidRPr="003455A7">
        <w:rPr>
          <w:noProof/>
          <w:lang w:eastAsia="en-GB"/>
        </w:rPr>
        <w:lastRenderedPageBreak/>
        <w:t xml:space="preserve"> </w:t>
      </w:r>
    </w:p>
    <w:p w14:paraId="16E42BAD" w14:textId="138169E0" w:rsidR="003455A7" w:rsidRPr="00F60885" w:rsidRDefault="003455A7" w:rsidP="003455A7">
      <w:pPr>
        <w:spacing w:line="480" w:lineRule="auto"/>
        <w:jc w:val="center"/>
        <w:rPr>
          <w:b/>
        </w:rPr>
      </w:pPr>
      <w:r>
        <w:rPr>
          <w:b/>
        </w:rPr>
        <w:t>Figure 1</w:t>
      </w:r>
      <w:r w:rsidRPr="00F60885">
        <w:rPr>
          <w:b/>
        </w:rPr>
        <w:t xml:space="preserve">: </w:t>
      </w:r>
      <w:proofErr w:type="spellStart"/>
      <w:r w:rsidRPr="00F60885">
        <w:rPr>
          <w:b/>
        </w:rPr>
        <w:t>Levelplot</w:t>
      </w:r>
      <w:proofErr w:type="spellEnd"/>
      <w:r w:rsidRPr="00F60885">
        <w:rPr>
          <w:b/>
        </w:rPr>
        <w:t xml:space="preserve"> of log</w:t>
      </w:r>
      <w:r w:rsidRPr="00F60885">
        <w:rPr>
          <w:b/>
          <w:vertAlign w:val="subscript"/>
        </w:rPr>
        <w:t>10</w:t>
      </w:r>
      <w:r w:rsidRPr="00F60885">
        <w:rPr>
          <w:b/>
        </w:rPr>
        <w:t xml:space="preserve"> mortality rates for males and females in Northern Ireland, 1922 to 2013. Cell colour indicates mortality risk. White cells indicate missing data. (Source: Human Mortality Database)</w:t>
      </w:r>
    </w:p>
    <w:p w14:paraId="1B35F89D" w14:textId="45CEA796" w:rsidR="003455A7" w:rsidRDefault="003455A7" w:rsidP="000B02C5">
      <w:pPr>
        <w:spacing w:line="480" w:lineRule="auto"/>
        <w:sectPr w:rsidR="003455A7" w:rsidSect="003455A7">
          <w:pgSz w:w="16838" w:h="11906" w:orient="landscape"/>
          <w:pgMar w:top="1440" w:right="1440" w:bottom="1440" w:left="1440" w:header="708" w:footer="708" w:gutter="0"/>
          <w:cols w:space="708"/>
          <w:docGrid w:linePitch="360"/>
        </w:sectPr>
      </w:pPr>
    </w:p>
    <w:p w14:paraId="1FF81ACE" w14:textId="3833183F" w:rsidR="00B447E0" w:rsidRDefault="00B447E0" w:rsidP="000B02C5">
      <w:pPr>
        <w:spacing w:line="480" w:lineRule="auto"/>
      </w:pPr>
    </w:p>
    <w:tbl>
      <w:tblPr>
        <w:tblStyle w:val="TableGrid"/>
        <w:tblW w:w="0" w:type="auto"/>
        <w:tblLook w:val="04A0" w:firstRow="1" w:lastRow="0" w:firstColumn="1" w:lastColumn="0" w:noHBand="0" w:noVBand="1"/>
      </w:tblPr>
      <w:tblGrid>
        <w:gridCol w:w="4508"/>
        <w:gridCol w:w="4508"/>
      </w:tblGrid>
      <w:tr w:rsidR="00657D70" w14:paraId="1CA6D79E" w14:textId="77777777" w:rsidTr="00657D70">
        <w:tc>
          <w:tcPr>
            <w:tcW w:w="4508" w:type="dxa"/>
            <w:vAlign w:val="center"/>
          </w:tcPr>
          <w:p w14:paraId="2A0AEA32" w14:textId="70CF9E5B" w:rsidR="00657D70" w:rsidRDefault="00657D70" w:rsidP="00657D70">
            <w:pPr>
              <w:spacing w:line="480" w:lineRule="auto"/>
              <w:jc w:val="center"/>
              <w:rPr>
                <w:i/>
              </w:rPr>
            </w:pPr>
            <w:r>
              <w:rPr>
                <w:i/>
                <w:noProof/>
                <w:lang w:eastAsia="en-GB"/>
              </w:rPr>
              <mc:AlternateContent>
                <mc:Choice Requires="wpc">
                  <w:drawing>
                    <wp:inline distT="0" distB="0" distL="0" distR="0" wp14:anchorId="67FB06A3" wp14:editId="0C4E7A7A">
                      <wp:extent cx="2667000" cy="1972945"/>
                      <wp:effectExtent l="0" t="0" r="0" b="825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287780" y="1630784"/>
                                  <a:ext cx="47053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A8637" w14:textId="77777777" w:rsidR="00657D70" w:rsidRDefault="00657D70" w:rsidP="00657D70">
                                    <w: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0"/>
                              <wps:cNvSpPr txBox="1"/>
                              <wps:spPr>
                                <a:xfrm>
                                  <a:off x="0" y="589256"/>
                                  <a:ext cx="678180" cy="94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BC032" w14:textId="77777777" w:rsidR="00657D70" w:rsidRDefault="00657D70" w:rsidP="00657D70">
                                    <w:pPr>
                                      <w:pStyle w:val="NormalWeb"/>
                                      <w:spacing w:before="0" w:beforeAutospacing="0" w:after="160" w:afterAutospacing="0" w:line="256" w:lineRule="auto"/>
                                      <w:rPr>
                                        <w:rFonts w:eastAsia="Calibri"/>
                                        <w:sz w:val="22"/>
                                        <w:szCs w:val="22"/>
                                      </w:rPr>
                                    </w:pPr>
                                    <w:r>
                                      <w:rPr>
                                        <w:rFonts w:eastAsia="Calibri"/>
                                        <w:sz w:val="22"/>
                                        <w:szCs w:val="22"/>
                                      </w:rPr>
                                      <w:t>Conflict</w:t>
                                    </w:r>
                                  </w:p>
                                  <w:p w14:paraId="363944A9" w14:textId="77777777" w:rsidR="00657D70" w:rsidRDefault="00657D70" w:rsidP="00657D70">
                                    <w:pPr>
                                      <w:pStyle w:val="NormalWeb"/>
                                      <w:spacing w:before="0" w:beforeAutospacing="0" w:after="160" w:afterAutospacing="0" w:line="256" w:lineRule="auto"/>
                                    </w:pPr>
                                    <w:r>
                                      <w:rPr>
                                        <w:rFonts w:eastAsia="Calibri"/>
                                        <w:sz w:val="22"/>
                                        <w:szCs w:val="22"/>
                                      </w:rPr>
                                      <w:t>Intensity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2" name="Group 22"/>
                              <wpg:cNvGrpSpPr/>
                              <wpg:grpSpPr>
                                <a:xfrm>
                                  <a:off x="761878" y="236959"/>
                                  <a:ext cx="1556849" cy="1393721"/>
                                  <a:chOff x="1112520" y="236999"/>
                                  <a:chExt cx="2621280" cy="2001180"/>
                                </a:xfrm>
                              </wpg:grpSpPr>
                              <wps:wsp>
                                <wps:cNvPr id="5" name="Straight Arrow Connector 5"/>
                                <wps:cNvCnPr/>
                                <wps:spPr>
                                  <a:xfrm>
                                    <a:off x="1112520" y="2238179"/>
                                    <a:ext cx="26212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112520" y="236999"/>
                                    <a:ext cx="12360" cy="200118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124880" y="2078159"/>
                                    <a:ext cx="1153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2278380" y="343679"/>
                                    <a:ext cx="0" cy="17344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Freeform 19"/>
                                <wps:cNvSpPr/>
                                <wps:spPr>
                                  <a:xfrm>
                                    <a:off x="2278380" y="343679"/>
                                    <a:ext cx="1394460" cy="1734480"/>
                                  </a:xfrm>
                                  <a:custGeom>
                                    <a:avLst/>
                                    <a:gdLst>
                                      <a:gd name="connsiteX0" fmla="*/ 0 w 685800"/>
                                      <a:gd name="connsiteY0" fmla="*/ 0 h 1653540"/>
                                      <a:gd name="connsiteX1" fmla="*/ 205740 w 685800"/>
                                      <a:gd name="connsiteY1" fmla="*/ 1264920 h 1653540"/>
                                      <a:gd name="connsiteX2" fmla="*/ 685800 w 685800"/>
                                      <a:gd name="connsiteY2" fmla="*/ 1653540 h 1653540"/>
                                    </a:gdLst>
                                    <a:ahLst/>
                                    <a:cxnLst>
                                      <a:cxn ang="0">
                                        <a:pos x="connsiteX0" y="connsiteY0"/>
                                      </a:cxn>
                                      <a:cxn ang="0">
                                        <a:pos x="connsiteX1" y="connsiteY1"/>
                                      </a:cxn>
                                      <a:cxn ang="0">
                                        <a:pos x="connsiteX2" y="connsiteY2"/>
                                      </a:cxn>
                                    </a:cxnLst>
                                    <a:rect l="l" t="t" r="r" b="b"/>
                                    <a:pathLst>
                                      <a:path w="685800" h="1653540">
                                        <a:moveTo>
                                          <a:pt x="0" y="0"/>
                                        </a:moveTo>
                                        <a:cubicBezTo>
                                          <a:pt x="45720" y="494665"/>
                                          <a:pt x="91440" y="989330"/>
                                          <a:pt x="205740" y="1264920"/>
                                        </a:cubicBezTo>
                                        <a:cubicBezTo>
                                          <a:pt x="320040" y="1540510"/>
                                          <a:pt x="607060" y="1604010"/>
                                          <a:pt x="685800" y="165354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0" name="Text Box 20"/>
                              <wps:cNvSpPr txBox="1"/>
                              <wps:spPr>
                                <a:xfrm>
                                  <a:off x="1181100" y="35999"/>
                                  <a:ext cx="66548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308" w14:textId="77777777" w:rsidR="00657D70" w:rsidRPr="00657D70" w:rsidRDefault="00657D70" w:rsidP="00657D70">
                                    <w:pPr>
                                      <w:rPr>
                                        <w:i/>
                                      </w:rPr>
                                    </w:pPr>
                                    <w:r w:rsidRPr="00657D70">
                                      <w:rPr>
                                        <w:i/>
                                      </w:rPr>
                                      <w:t>Impulse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0"/>
                              <wps:cNvSpPr txBox="1"/>
                              <wps:spPr>
                                <a:xfrm>
                                  <a:off x="1597320" y="848459"/>
                                  <a:ext cx="57912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1895E" w14:textId="77777777" w:rsidR="00657D70" w:rsidRDefault="00657D70" w:rsidP="00657D70">
                                    <w:pPr>
                                      <w:pStyle w:val="NormalWeb"/>
                                      <w:spacing w:before="0" w:beforeAutospacing="0" w:after="160" w:afterAutospacing="0" w:line="256" w:lineRule="auto"/>
                                    </w:pPr>
                                    <w:r>
                                      <w:rPr>
                                        <w:rFonts w:eastAsia="Calibri"/>
                                        <w:i/>
                                        <w:iCs/>
                                        <w:sz w:val="22"/>
                                        <w:szCs w:val="22"/>
                                      </w:rPr>
                                      <w:t>Decay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FB06A3" id="Canvas 3" o:spid="_x0000_s1026" editas="canvas" style="width:210pt;height:155.35pt;mso-position-horizontal-relative:char;mso-position-vertical-relative:line" coordsize="26670,1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70;height:19729;visibility:visible;mso-wrap-style:squar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12877;top:16307;width:4706;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14:paraId="47AA8637" w14:textId="77777777" w:rsidR="00657D70" w:rsidRDefault="00657D70" w:rsidP="00657D70">
                              <w:r>
                                <w:t>Time</w:t>
                              </w:r>
                            </w:p>
                          </w:txbxContent>
                        </v:textbox>
                      </v:shape>
                      <v:shape id="Text Box 10" o:spid="_x0000_s1029" type="#_x0000_t202" style="position:absolute;top:5892;width:6781;height:9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73EBC032" w14:textId="77777777" w:rsidR="00657D70" w:rsidRDefault="00657D70" w:rsidP="00657D70">
                              <w:pPr>
                                <w:pStyle w:val="NormalWeb"/>
                                <w:spacing w:before="0" w:beforeAutospacing="0" w:after="160" w:afterAutospacing="0" w:line="256" w:lineRule="auto"/>
                                <w:rPr>
                                  <w:rFonts w:eastAsia="Calibri"/>
                                  <w:sz w:val="22"/>
                                  <w:szCs w:val="22"/>
                                </w:rPr>
                              </w:pPr>
                              <w:r>
                                <w:rPr>
                                  <w:rFonts w:eastAsia="Calibri"/>
                                  <w:sz w:val="22"/>
                                  <w:szCs w:val="22"/>
                                </w:rPr>
                                <w:t>Conflict</w:t>
                              </w:r>
                            </w:p>
                            <w:p w14:paraId="363944A9" w14:textId="77777777" w:rsidR="00657D70" w:rsidRDefault="00657D70" w:rsidP="00657D70">
                              <w:pPr>
                                <w:pStyle w:val="NormalWeb"/>
                                <w:spacing w:before="0" w:beforeAutospacing="0" w:after="160" w:afterAutospacing="0" w:line="256" w:lineRule="auto"/>
                              </w:pPr>
                              <w:r>
                                <w:rPr>
                                  <w:rFonts w:eastAsia="Calibri"/>
                                  <w:sz w:val="22"/>
                                  <w:szCs w:val="22"/>
                                </w:rPr>
                                <w:t>Intensity</w:t>
                              </w:r>
                            </w:p>
                          </w:txbxContent>
                        </v:textbox>
                      </v:shape>
                      <v:group id="Group 22" o:spid="_x0000_s1030" style="position:absolute;left:7618;top:2369;width:15569;height:13937" coordorigin="11125,2369" coordsize="26212,2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5" o:spid="_x0000_s1031" type="#_x0000_t32" style="position:absolute;left:11125;top:22381;width:26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1s8IAAADaAAAADwAAAGRycy9kb3ducmV2LnhtbESPQYvCMBSE78L+h/AW9qapgqLVKFJY&#10;EFwUdWGvj+bZFpuXbhJr/fdGEDwOM/MNs1h1phYtOV9ZVjAcJCCIc6srLhT8nr77UxA+IGusLZOC&#10;O3lYLT96C0y1vfGB2mMoRISwT1FBGUKTSunzkgz6gW2Io3e2zmCI0hVSO7xFuKnlKEkm0mDFcaHE&#10;hrKS8svxahRsfnjsTvv/iSum29nfrs3q0SVT6uuzW89BBOrCO/xqb7SCMTyvxBs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1s8IAAADaAAAADwAAAAAAAAAAAAAA&#10;AAChAgAAZHJzL2Rvd25yZXYueG1sUEsFBgAAAAAEAAQA+QAAAJADAAAAAA==&#10;" strokecolor="black [3213]" strokeweight="2.25pt">
                          <v:stroke endarrow="block" joinstyle="miter"/>
                        </v:shape>
                        <v:shape id="Straight Arrow Connector 14" o:spid="_x0000_s1032" type="#_x0000_t32" style="position:absolute;left:11125;top:2369;width:123;height:200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Iob0AAADbAAAADwAAAGRycy9kb3ducmV2LnhtbERPzYrCMBC+C75DGMGbpi5FpBpFuwhe&#10;rT7A0IxtsZnUJGr16c3Cgrf5+H5ntelNKx7kfGNZwWyagCAurW64UnA+7ScLED4ga2wtk4IXedis&#10;h4MVZto++UiPIlQihrDPUEEdQpdJ6cuaDPqp7Ygjd7HOYIjQVVI7fMZw08qfJJlLgw3Hhho7ymsq&#10;r8XdKEjt7nbK80Xa7M/cpTP6dYV5KzUe9dsliEB9+Ir/3Qcd56fw90s8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6SiKG9AAAA2wAAAA8AAAAAAAAAAAAAAAAAoQIA&#10;AGRycy9kb3ducmV2LnhtbFBLBQYAAAAABAAEAPkAAACLAwAAAAA=&#10;" strokecolor="black [3213]" strokeweight="2.25pt">
                          <v:stroke endarrow="block" joinstyle="miter"/>
                        </v:shape>
                        <v:line id="Straight Connector 16" o:spid="_x0000_s1033" style="position:absolute;visibility:visible;mso-wrap-style:square" from="11248,20781" to="22783,2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HjcAAAADbAAAADwAAAGRycy9kb3ducmV2LnhtbERP22rCQBB9F/oPyxR804kXQkldRQoV&#10;nxQvHzDNTpO02dmQXU3s13cFwbc5nOssVr2t1ZVbXznRMBknoFhyZyopNJxPn6M3UD6QGKqdsIYb&#10;e1gtXwYLyozr5MDXYyhUDBGfkYYyhCZD9HnJlvzYNSyR+3atpRBhW6BpqYvhtsZpkqRoqZLYUFLD&#10;HyXnv8eL1WBn22SXdtNdjfnP5kv+EOezvdbD1379DipwH57ih3tr4vwU7r/EA3D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tx43AAAAA2wAAAA8AAAAAAAAAAAAAAAAA&#10;oQIAAGRycy9kb3ducmV2LnhtbFBLBQYAAAAABAAEAPkAAACOAwAAAAA=&#10;" strokecolor="black [3213]" strokeweight="1pt">
                          <v:stroke joinstyle="miter"/>
                        </v:line>
                        <v:line id="Straight Connector 17" o:spid="_x0000_s1034" style="position:absolute;flip:y;visibility:visible;mso-wrap-style:square" from="22783,3436" to="22783,2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jADcMAAADbAAAADwAAAGRycy9kb3ducmV2LnhtbERPS2sCMRC+F/wPYQQvRbP24GNrFBVk&#10;FUuh6qW36Wa6u7iZbJOo679vCkJv8/E9Z7ZoTS2u5HxlWcFwkIAgzq2uuFBwOm76ExA+IGusLZOC&#10;O3lYzDtPM0y1vfEHXQ+hEDGEfYoKyhCaVEqfl2TQD2xDHLlv6wyGCF0htcNbDDe1fEmSkTRYcWwo&#10;saF1Sfn5cDEKdvJnf165ryKbyGzz+TZ+n3L2rFSv2y5fQQRqw7/44d7qOH8Mf7/E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YwA3DAAAA2wAAAA8AAAAAAAAAAAAA&#10;AAAAoQIAAGRycy9kb3ducmV2LnhtbFBLBQYAAAAABAAEAPkAAACRAwAAAAA=&#10;" strokecolor="black [3213]" strokeweight="1pt">
                          <v:stroke joinstyle="miter"/>
                        </v:line>
                        <v:shape id="Freeform 19" o:spid="_x0000_s1035" style="position:absolute;left:22783;top:3436;width:13945;height:17345;visibility:visible;mso-wrap-style:square;v-text-anchor:middle" coordsize="685800,1653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KOcIA&#10;AADbAAAADwAAAGRycy9kb3ducmV2LnhtbERPTWvCQBC9C/0PyxR6040ebBvdBCkNSMGWJu19yI5J&#10;MDsbdjca/323IHibx/ucbT6ZXpzJ+c6yguUiAUFcW91xo+CnKuYvIHxA1thbJgVX8pBnD7Mtptpe&#10;+JvOZWhEDGGfooI2hCGV0tctGfQLOxBH7midwRCha6R2eInhpperJFlLgx3HhhYHemupPpWjUVB8&#10;7bph3FdcHt4/nw8f12J0xa9ST4/TbgMi0BTu4pt7r+P8V/j/JR4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cEo5wgAAANsAAAAPAAAAAAAAAAAAAAAAAJgCAABkcnMvZG93&#10;bnJldi54bWxQSwUGAAAAAAQABAD1AAAAhwMAAAAA&#10;" path="m,c45720,494665,91440,989330,205740,1264920v114300,275590,401320,339090,480060,388620e" filled="f" strokecolor="black [3213]" strokeweight="1pt">
                          <v:stroke joinstyle="miter"/>
                          <v:path arrowok="t" o:connecttype="custom" o:connectlocs="0,0;418338,1326837;1394460,1734480" o:connectangles="0,0,0"/>
                        </v:shape>
                      </v:group>
                      <v:shape id="Text Box 20" o:spid="_x0000_s1036" type="#_x0000_t202" style="position:absolute;left:11811;top:359;width:66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14:paraId="4E0BE308" w14:textId="77777777" w:rsidR="00657D70" w:rsidRPr="00657D70" w:rsidRDefault="00657D70" w:rsidP="00657D70">
                              <w:pPr>
                                <w:rPr>
                                  <w:i/>
                                </w:rPr>
                              </w:pPr>
                              <w:r w:rsidRPr="00657D70">
                                <w:rPr>
                                  <w:i/>
                                </w:rPr>
                                <w:t>Impulse</w:t>
                              </w:r>
                            </w:p>
                          </w:txbxContent>
                        </v:textbox>
                      </v:shape>
                      <v:shape id="Text Box 20" o:spid="_x0000_s1037" type="#_x0000_t202" style="position:absolute;left:15973;top:8484;width:5791;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3911895E" w14:textId="77777777" w:rsidR="00657D70" w:rsidRDefault="00657D70" w:rsidP="00657D70">
                              <w:pPr>
                                <w:pStyle w:val="NormalWeb"/>
                                <w:spacing w:before="0" w:beforeAutospacing="0" w:after="160" w:afterAutospacing="0" w:line="256" w:lineRule="auto"/>
                              </w:pPr>
                              <w:r>
                                <w:rPr>
                                  <w:rFonts w:eastAsia="Calibri"/>
                                  <w:i/>
                                  <w:iCs/>
                                  <w:sz w:val="22"/>
                                  <w:szCs w:val="22"/>
                                </w:rPr>
                                <w:t>Decay</w:t>
                              </w:r>
                            </w:p>
                          </w:txbxContent>
                        </v:textbox>
                      </v:shape>
                      <w10:anchorlock/>
                    </v:group>
                  </w:pict>
                </mc:Fallback>
              </mc:AlternateContent>
            </w:r>
          </w:p>
        </w:tc>
        <w:tc>
          <w:tcPr>
            <w:tcW w:w="4508" w:type="dxa"/>
          </w:tcPr>
          <w:p w14:paraId="7FC75222" w14:textId="5AB638E0" w:rsidR="00657D70" w:rsidRDefault="00657D70" w:rsidP="00F60885">
            <w:pPr>
              <w:spacing w:line="480" w:lineRule="auto"/>
              <w:jc w:val="center"/>
              <w:rPr>
                <w:i/>
              </w:rPr>
            </w:pPr>
          </w:p>
        </w:tc>
      </w:tr>
      <w:tr w:rsidR="00657D70" w14:paraId="797E3BDE" w14:textId="77777777" w:rsidTr="00657D70">
        <w:tc>
          <w:tcPr>
            <w:tcW w:w="4508" w:type="dxa"/>
            <w:vAlign w:val="center"/>
          </w:tcPr>
          <w:p w14:paraId="535EA935" w14:textId="073C61EF" w:rsidR="00657D70" w:rsidRPr="00657D70" w:rsidRDefault="00657D70" w:rsidP="00657D70">
            <w:pPr>
              <w:pStyle w:val="ListParagraph"/>
              <w:numPr>
                <w:ilvl w:val="0"/>
                <w:numId w:val="4"/>
              </w:numPr>
              <w:spacing w:line="480" w:lineRule="auto"/>
              <w:jc w:val="center"/>
              <w:rPr>
                <w:i/>
                <w:noProof/>
                <w:lang w:eastAsia="en-GB"/>
              </w:rPr>
            </w:pPr>
            <w:r>
              <w:rPr>
                <w:i/>
                <w:noProof/>
                <w:lang w:eastAsia="en-GB"/>
              </w:rPr>
              <w:t>Pen portrait of Parameter T(t)</w:t>
            </w:r>
          </w:p>
        </w:tc>
        <w:tc>
          <w:tcPr>
            <w:tcW w:w="4508" w:type="dxa"/>
          </w:tcPr>
          <w:p w14:paraId="718E41C6" w14:textId="1399A825" w:rsidR="00657D70" w:rsidRPr="00657D70" w:rsidRDefault="00657D70" w:rsidP="00F60885">
            <w:pPr>
              <w:spacing w:line="480" w:lineRule="auto"/>
              <w:jc w:val="center"/>
              <w:rPr>
                <w:i/>
                <w:noProof/>
                <w:lang w:eastAsia="en-GB"/>
              </w:rPr>
            </w:pPr>
            <w:r w:rsidRPr="00657D70">
              <w:rPr>
                <w:i/>
              </w:rPr>
              <w:t>b) ‘Pen Portrait’ of key features in Figure 1.</w:t>
            </w:r>
          </w:p>
        </w:tc>
      </w:tr>
    </w:tbl>
    <w:p w14:paraId="017772DB" w14:textId="353B6845" w:rsidR="00F60885" w:rsidRPr="00F60885" w:rsidRDefault="003455A7" w:rsidP="00F60885">
      <w:pPr>
        <w:spacing w:line="480" w:lineRule="auto"/>
        <w:jc w:val="center"/>
        <w:rPr>
          <w:b/>
        </w:rPr>
      </w:pPr>
      <w:r w:rsidRPr="00F60885">
        <w:rPr>
          <w:b/>
        </w:rPr>
        <w:t xml:space="preserve"> </w:t>
      </w:r>
      <w:r>
        <w:rPr>
          <w:b/>
        </w:rPr>
        <w:t>Figure 2</w:t>
      </w:r>
      <w:r w:rsidR="00F60885" w:rsidRPr="00F60885">
        <w:rPr>
          <w:b/>
        </w:rPr>
        <w:t xml:space="preserve">: </w:t>
      </w:r>
      <w:r w:rsidR="00EB4CAE">
        <w:rPr>
          <w:b/>
        </w:rPr>
        <w:t>Stylised representations of a) impulse-decay component of conflict; b) Key visual features in the Lexis surface shown in Figure 1</w:t>
      </w:r>
    </w:p>
    <w:p w14:paraId="0F1029F1" w14:textId="27AC55ED" w:rsidR="00963867" w:rsidRDefault="00B447E0" w:rsidP="000B02C5">
      <w:pPr>
        <w:spacing w:line="480" w:lineRule="auto"/>
        <w:rPr>
          <w:rFonts w:eastAsiaTheme="minorEastAsia"/>
        </w:rPr>
      </w:pPr>
      <w:r>
        <w:t>Within Figure 2</w:t>
      </w:r>
      <w:r w:rsidR="00EB4CAE">
        <w:t>b,</w:t>
      </w:r>
      <w:r>
        <w:t xml:space="preserve"> P1, P2 and P3 indicate ‘Phase 1’, ‘Phase 2’ and ‘Phase 3’, each demarcating periods of years in which there appeared to be systemic differences in the rate of change in mortality risk at different ages. </w:t>
      </w:r>
      <w:r>
        <w:rPr>
          <w:rFonts w:eastAsiaTheme="minorEastAsia"/>
        </w:rPr>
        <w:t>The much more rapid falls in both female and</w:t>
      </w:r>
      <w:r w:rsidR="00963867">
        <w:rPr>
          <w:rFonts w:eastAsiaTheme="minorEastAsia"/>
        </w:rPr>
        <w:t xml:space="preserve"> male young adult mortality over Phase Two is evident in the Figure 1 </w:t>
      </w:r>
      <w:proofErr w:type="spellStart"/>
      <w:r w:rsidR="00963867">
        <w:rPr>
          <w:rFonts w:eastAsiaTheme="minorEastAsia"/>
        </w:rPr>
        <w:t>levelplot</w:t>
      </w:r>
      <w:proofErr w:type="spellEnd"/>
      <w:r w:rsidR="00963867">
        <w:rPr>
          <w:rFonts w:eastAsiaTheme="minorEastAsia"/>
        </w:rPr>
        <w:t xml:space="preserve"> by noting that most of the cells in the age range 20 to 40 years are red before the late 1930s, whereas during this Phase they turn dark and light orange. This represents close to an order of magnitude fall in mortality risk at these ages over these years. This is despite the period including World War Two, indicated with a shaded polygon in Figure 2</w:t>
      </w:r>
      <w:r w:rsidR="00EB4CAE">
        <w:rPr>
          <w:rFonts w:eastAsiaTheme="minorEastAsia"/>
        </w:rPr>
        <w:t>b</w:t>
      </w:r>
      <w:r w:rsidR="00963867">
        <w:rPr>
          <w:rFonts w:eastAsiaTheme="minorEastAsia"/>
        </w:rPr>
        <w:t xml:space="preserve">. </w:t>
      </w:r>
    </w:p>
    <w:p w14:paraId="010A2870" w14:textId="3D60EA13" w:rsidR="00B447E0" w:rsidRDefault="00963867" w:rsidP="000B02C5">
      <w:pPr>
        <w:spacing w:line="480" w:lineRule="auto"/>
        <w:rPr>
          <w:rFonts w:eastAsiaTheme="minorEastAsia"/>
        </w:rPr>
      </w:pPr>
      <w:r>
        <w:rPr>
          <w:rFonts w:eastAsiaTheme="minorEastAsia"/>
        </w:rPr>
        <w:t xml:space="preserve">The effect of the Troubles on mortality is evident by noting the faint vertical band of red cells which appears in the male level plot from around age 18 to 40 after the early 1970s. Before this red band appeared cells tended to be a darker orange shade (slightly under </w:t>
      </w:r>
      <w:r w:rsidR="006C78A1">
        <w:rPr>
          <w:rFonts w:eastAsiaTheme="minorEastAsia"/>
        </w:rPr>
        <w:t xml:space="preserve">a </w:t>
      </w:r>
      <w:r>
        <w:rPr>
          <w:rFonts w:eastAsiaTheme="minorEastAsia"/>
        </w:rPr>
        <w:t xml:space="preserve">1-in-100 risk), and </w:t>
      </w:r>
      <w:r w:rsidR="000B2D22">
        <w:rPr>
          <w:rFonts w:eastAsiaTheme="minorEastAsia"/>
        </w:rPr>
        <w:t xml:space="preserve">a slightly lighter orange/yellow shade after. No similar discontinuity at this age range after the early 1970s is evident for females. </w:t>
      </w:r>
      <w:r w:rsidR="00A33838">
        <w:rPr>
          <w:rFonts w:eastAsiaTheme="minorEastAsia"/>
        </w:rPr>
        <w:t xml:space="preserve">Figure 3 explores this pattern further, by plotting the number of deaths </w:t>
      </w:r>
      <w:r w:rsidR="00273CFC">
        <w:rPr>
          <w:rFonts w:eastAsiaTheme="minorEastAsia"/>
        </w:rPr>
        <w:t xml:space="preserve">(not death rate) </w:t>
      </w:r>
      <w:r w:rsidR="00A33838">
        <w:rPr>
          <w:rFonts w:eastAsiaTheme="minorEastAsia"/>
        </w:rPr>
        <w:t xml:space="preserve">for males and females aged between 18 and 40 years. A grey band is added indicating the years 1971-1973. Male deaths </w:t>
      </w:r>
      <w:r w:rsidR="00273CFC">
        <w:rPr>
          <w:rFonts w:eastAsiaTheme="minorEastAsia"/>
        </w:rPr>
        <w:t>increase</w:t>
      </w:r>
      <w:r w:rsidR="00A33838">
        <w:rPr>
          <w:rFonts w:eastAsiaTheme="minorEastAsia"/>
        </w:rPr>
        <w:t xml:space="preserve"> in 1971 and 1972, peak in 1973, and then remain above </w:t>
      </w:r>
      <w:r w:rsidR="00A33838">
        <w:rPr>
          <w:rFonts w:eastAsiaTheme="minorEastAsia"/>
        </w:rPr>
        <w:lastRenderedPageBreak/>
        <w:t xml:space="preserve">those seen in earlier years for many years afterwards; no similar increase is seen for females. </w:t>
      </w:r>
      <w:r w:rsidR="006C78A1">
        <w:rPr>
          <w:rFonts w:eastAsiaTheme="minorEastAsia"/>
        </w:rPr>
        <w:t xml:space="preserve">The </w:t>
      </w:r>
      <w:r w:rsidR="000B2D22">
        <w:rPr>
          <w:rFonts w:eastAsiaTheme="minorEastAsia"/>
        </w:rPr>
        <w:t>Troubles had a longer term effect than WW2 on male mortality.</w:t>
      </w:r>
      <w:r>
        <w:rPr>
          <w:rFonts w:eastAsiaTheme="minorEastAsia"/>
        </w:rPr>
        <w:t xml:space="preserve"> </w:t>
      </w:r>
    </w:p>
    <w:p w14:paraId="2D1A6A9C" w14:textId="1BB0D786" w:rsidR="00F60885" w:rsidRPr="00F60885" w:rsidRDefault="00F60885" w:rsidP="00F60885">
      <w:pPr>
        <w:spacing w:line="480" w:lineRule="auto"/>
        <w:jc w:val="center"/>
        <w:rPr>
          <w:rFonts w:eastAsiaTheme="minorEastAsia"/>
          <w:i/>
        </w:rPr>
      </w:pPr>
    </w:p>
    <w:p w14:paraId="24763E9B" w14:textId="35C98D19" w:rsidR="00F60885" w:rsidRPr="00F60885" w:rsidRDefault="00F60885" w:rsidP="00F60885">
      <w:pPr>
        <w:spacing w:line="480" w:lineRule="auto"/>
        <w:jc w:val="center"/>
        <w:rPr>
          <w:rFonts w:eastAsiaTheme="minorEastAsia"/>
          <w:b/>
        </w:rPr>
      </w:pPr>
      <w:r w:rsidRPr="00F60885">
        <w:rPr>
          <w:rFonts w:eastAsiaTheme="minorEastAsia"/>
          <w:b/>
        </w:rPr>
        <w:t>Fig</w:t>
      </w:r>
      <w:r w:rsidR="003455A7">
        <w:rPr>
          <w:rFonts w:eastAsiaTheme="minorEastAsia"/>
          <w:b/>
        </w:rPr>
        <w:t>ure 3</w:t>
      </w:r>
      <w:r w:rsidRPr="00F60885">
        <w:rPr>
          <w:rFonts w:eastAsiaTheme="minorEastAsia"/>
          <w:b/>
        </w:rPr>
        <w:t>: Deaths for males and females between the ages of 18 and 40 years in Northern Ireland. Grey ban</w:t>
      </w:r>
      <w:r w:rsidR="003455A7">
        <w:rPr>
          <w:rFonts w:eastAsiaTheme="minorEastAsia"/>
          <w:b/>
        </w:rPr>
        <w:t>d indicates the years 1971-1973</w:t>
      </w:r>
    </w:p>
    <w:p w14:paraId="124BE338" w14:textId="19692F0E" w:rsidR="00B447E0" w:rsidRDefault="0029467E" w:rsidP="000B02C5">
      <w:pPr>
        <w:spacing w:line="480" w:lineRule="auto"/>
      </w:pPr>
      <w:r>
        <w:t>Within Figure 2</w:t>
      </w:r>
      <w:r w:rsidR="00EB4CAE">
        <w:t>b</w:t>
      </w:r>
      <w:r>
        <w:t>, the large horizontal grey band indicates the age range 15 to 45 years, within which further analyses will focus. Figure 4 shows level plots for males and females for this age range only, using a slightly different colour scheme and range of log</w:t>
      </w:r>
      <w:r>
        <w:rPr>
          <w:vertAlign w:val="subscript"/>
        </w:rPr>
        <w:t>10</w:t>
      </w:r>
      <w:r>
        <w:t xml:space="preserve"> mortality values to before. Within this plot the effect of the Troubles on male mortality is clearer, and appears as a band of light red, then dark red, cells after the early 1970s after orange and dark red cells in earlier years. Again, no similar pattern is seen for females. The disruption to earlier trends for males appears mainly to affect males once they have reached adulthood, and to be sharpest at younger adult ages, from around the ages of 18 to 21 years of age. </w:t>
      </w:r>
    </w:p>
    <w:p w14:paraId="100783A1" w14:textId="6A48E39A" w:rsidR="00F60885" w:rsidRPr="00F60885" w:rsidRDefault="00F60885" w:rsidP="00F60885">
      <w:pPr>
        <w:spacing w:line="480" w:lineRule="auto"/>
        <w:jc w:val="center"/>
        <w:rPr>
          <w:rFonts w:eastAsiaTheme="minorEastAsia"/>
          <w:i/>
        </w:rPr>
      </w:pPr>
    </w:p>
    <w:p w14:paraId="0B51705D" w14:textId="649BF45C" w:rsidR="00F60885" w:rsidRP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4</w:t>
      </w:r>
      <w:r w:rsidRPr="00F60885">
        <w:rPr>
          <w:rFonts w:eastAsiaTheme="minorEastAsia"/>
          <w:b/>
        </w:rPr>
        <w:t xml:space="preserve">: </w:t>
      </w:r>
      <w:r>
        <w:rPr>
          <w:rFonts w:eastAsiaTheme="minorEastAsia"/>
          <w:b/>
        </w:rPr>
        <w:t>Level plot for log10 death rates for males and females between the ages of 15 and 45 years in Northern Ireland 1922-2013.</w:t>
      </w:r>
    </w:p>
    <w:p w14:paraId="366AAC5A" w14:textId="41E53D1D" w:rsidR="0029467E" w:rsidRPr="003400A5" w:rsidRDefault="0029467E" w:rsidP="003400A5">
      <w:pPr>
        <w:pStyle w:val="Heading3"/>
        <w:rPr>
          <w:color w:val="auto"/>
        </w:rPr>
      </w:pPr>
      <w:r w:rsidRPr="003400A5">
        <w:rPr>
          <w:color w:val="auto"/>
        </w:rPr>
        <w:t xml:space="preserve">Modelling </w:t>
      </w:r>
    </w:p>
    <w:p w14:paraId="56D99FD2" w14:textId="6B52DDE7" w:rsidR="00307E81" w:rsidRDefault="00D055BC" w:rsidP="000B02C5">
      <w:pPr>
        <w:spacing w:line="480" w:lineRule="auto"/>
      </w:pPr>
      <w:r>
        <w:t xml:space="preserve">Figure 5 </w:t>
      </w:r>
      <w:r w:rsidR="001F32F4">
        <w:t>comprises three rows, each presenting a log</w:t>
      </w:r>
      <w:r w:rsidR="001F32F4" w:rsidRPr="001F32F4">
        <w:rPr>
          <w:vertAlign w:val="subscript"/>
        </w:rPr>
        <w:t>10</w:t>
      </w:r>
      <w:r w:rsidR="001F32F4">
        <w:t xml:space="preserve"> mortality surface for males over the age range 15 to 40 years and for all years. On the top row, labelled ‘predicted’, the model predicted surface, including the parameter for the Troubles, is presented; on the middle row, labelled ‘counterfactual’, the model prediction for a counterfactual scenario, in which the Troubles term is not applied, is presented; and in the bottom row, labelled ‘actual’, the actual log</w:t>
      </w:r>
      <w:r w:rsidR="001F32F4" w:rsidRPr="001F32F4">
        <w:rPr>
          <w:vertAlign w:val="subscript"/>
        </w:rPr>
        <w:t>10</w:t>
      </w:r>
      <w:r w:rsidR="001F32F4">
        <w:t xml:space="preserve"> mortality values from the data are presented. </w:t>
      </w:r>
      <w:r w:rsidR="006C78A1">
        <w:t xml:space="preserve">We </w:t>
      </w:r>
      <w:r w:rsidR="001F32F4">
        <w:t xml:space="preserve">can see that the model is relatively effective at capturing the broad pattern and features of the actual surface, though is clearly and necessarily a somewhat stylised representation of the actual </w:t>
      </w:r>
      <w:r w:rsidR="009140E4">
        <w:t>data surface</w:t>
      </w:r>
      <w:r w:rsidR="001F32F4">
        <w:t xml:space="preserve">. </w:t>
      </w:r>
    </w:p>
    <w:p w14:paraId="05CF5E62" w14:textId="0950866E" w:rsidR="00F60885" w:rsidRPr="00F60885" w:rsidRDefault="00F60885" w:rsidP="003455A7">
      <w:pPr>
        <w:spacing w:line="480" w:lineRule="auto"/>
        <w:rPr>
          <w:rFonts w:eastAsiaTheme="minorEastAsia"/>
          <w:i/>
        </w:rPr>
      </w:pPr>
    </w:p>
    <w:p w14:paraId="7F648448" w14:textId="31DF6DC6"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5</w:t>
      </w:r>
      <w:r w:rsidRPr="00F60885">
        <w:rPr>
          <w:rFonts w:eastAsiaTheme="minorEastAsia"/>
          <w:b/>
        </w:rPr>
        <w:t xml:space="preserve">: </w:t>
      </w:r>
      <w:r>
        <w:rPr>
          <w:rFonts w:eastAsiaTheme="minorEastAsia"/>
          <w:b/>
        </w:rPr>
        <w:t>Level plots for modelled death rates (top row), modelled counterfactual death rates (middle row) and actual death rates for males aged 15-45 years in Northern Ireland, 1922-2013</w:t>
      </w:r>
    </w:p>
    <w:p w14:paraId="56DB5403" w14:textId="7141EA9F" w:rsidR="00F60885" w:rsidRPr="00F60885" w:rsidRDefault="00F60885" w:rsidP="00F60885">
      <w:pPr>
        <w:spacing w:line="480" w:lineRule="auto"/>
        <w:jc w:val="center"/>
        <w:rPr>
          <w:rFonts w:eastAsiaTheme="minorEastAsia"/>
          <w:i/>
        </w:rPr>
      </w:pPr>
    </w:p>
    <w:p w14:paraId="3732EDDA" w14:textId="10EDE283" w:rsidR="00F60885" w:rsidRDefault="00F60885" w:rsidP="00F60885">
      <w:pPr>
        <w:spacing w:line="480" w:lineRule="auto"/>
        <w:jc w:val="center"/>
        <w:rPr>
          <w:rFonts w:eastAsiaTheme="minorEastAsia"/>
          <w:b/>
        </w:rPr>
      </w:pPr>
      <w:r w:rsidRPr="00F60885">
        <w:rPr>
          <w:rFonts w:eastAsiaTheme="minorEastAsia"/>
          <w:b/>
        </w:rPr>
        <w:t xml:space="preserve">Figure </w:t>
      </w:r>
      <w:r>
        <w:rPr>
          <w:rFonts w:eastAsiaTheme="minorEastAsia"/>
          <w:b/>
        </w:rPr>
        <w:t>6</w:t>
      </w:r>
      <w:r w:rsidRPr="00F60885">
        <w:rPr>
          <w:rFonts w:eastAsiaTheme="minorEastAsia"/>
          <w:b/>
        </w:rPr>
        <w:t xml:space="preserve">: </w:t>
      </w:r>
      <w:r>
        <w:rPr>
          <w:rFonts w:eastAsiaTheme="minorEastAsia"/>
          <w:b/>
        </w:rPr>
        <w:t>Level plots of residuals between modelled and actual log10 death rates by age and year for males 15 to 45 years in Northern Ireland, 1922-2013. Red indicates model overestimation, blue underestimation, and shade magnitude of error</w:t>
      </w:r>
    </w:p>
    <w:p w14:paraId="1EE4883A" w14:textId="6F46754D" w:rsidR="00B447E0" w:rsidRDefault="00095E96" w:rsidP="000B02C5">
      <w:pPr>
        <w:spacing w:line="480" w:lineRule="auto"/>
      </w:pPr>
      <w:r>
        <w:t>Systemic bias in over-estimation or under-estimation of age-year specific mortality risks can be explored by looking at the surface of residuals between the predicted and actual surfaces, as shown in Figure 6:</w:t>
      </w:r>
      <w:r w:rsidR="009140E4">
        <w:t xml:space="preserve"> </w:t>
      </w:r>
      <w:r w:rsidR="00D055BC">
        <w:t>within this figure red cells indicate model over-</w:t>
      </w:r>
      <w:r w:rsidR="009140E4">
        <w:t xml:space="preserve">estimation, </w:t>
      </w:r>
      <w:r w:rsidR="00D055BC">
        <w:t xml:space="preserve">blue cells under-estimation, and the shade of cells </w:t>
      </w:r>
      <w:r w:rsidR="009140E4">
        <w:t>the magnitude of error</w:t>
      </w:r>
      <w:r w:rsidR="00D055BC">
        <w:t xml:space="preserve">. </w:t>
      </w:r>
      <w:r w:rsidR="009140E4">
        <w:t>S</w:t>
      </w:r>
      <w:r>
        <w:t xml:space="preserve">ystemic biases in these estimates </w:t>
      </w:r>
      <w:r w:rsidR="009140E4">
        <w:t xml:space="preserve">appear </w:t>
      </w:r>
      <w:r>
        <w:t xml:space="preserve">as large ‘patches’ of cells with positive or negative residuals, as well as discontinuities in the data. </w:t>
      </w:r>
      <w:r w:rsidR="009140E4">
        <w:t xml:space="preserve">There is </w:t>
      </w:r>
      <w:r>
        <w:t xml:space="preserve">a vertical band of red cells at younger ages in 1939; </w:t>
      </w:r>
      <w:r w:rsidR="009140E4">
        <w:t xml:space="preserve">suggesting </w:t>
      </w:r>
      <w:r>
        <w:t>the model underestimates deaths in younger males during World War Two</w:t>
      </w:r>
      <w:r w:rsidR="009140E4">
        <w:t xml:space="preserve">; this </w:t>
      </w:r>
      <w:r>
        <w:t xml:space="preserve">should not be surprising given the model does not include any terms to represent this event. </w:t>
      </w:r>
      <w:r w:rsidR="009140E4">
        <w:t>F</w:t>
      </w:r>
      <w:r w:rsidR="00F73E1F">
        <w:t>igure 7</w:t>
      </w:r>
      <w:r w:rsidR="00044023">
        <w:t xml:space="preserve"> shows the model fit as a </w:t>
      </w:r>
      <w:r w:rsidR="009140E4">
        <w:t xml:space="preserve">function of the decay rate, k. The model has a </w:t>
      </w:r>
      <w:r w:rsidR="00F73E1F">
        <w:t>best fit when k is 9.748%</w:t>
      </w:r>
      <w:r w:rsidR="009140E4">
        <w:t xml:space="preserve">, suggesting a </w:t>
      </w:r>
      <w:r w:rsidR="00F73E1F">
        <w:t>half</w:t>
      </w:r>
      <w:r w:rsidR="009140E4">
        <w:t>-</w:t>
      </w:r>
      <w:r w:rsidR="00F73E1F">
        <w:t xml:space="preserve">life of the Troubles </w:t>
      </w:r>
      <w:r w:rsidR="009140E4">
        <w:t xml:space="preserve">of </w:t>
      </w:r>
      <w:r w:rsidR="00F73E1F">
        <w:t xml:space="preserve">6.76 years. </w:t>
      </w:r>
    </w:p>
    <w:p w14:paraId="31FDFB82" w14:textId="08D2CC9A" w:rsidR="00F60885" w:rsidRPr="00044023" w:rsidRDefault="00F60885" w:rsidP="00044023">
      <w:pPr>
        <w:spacing w:line="480" w:lineRule="auto"/>
        <w:jc w:val="center"/>
        <w:rPr>
          <w:i/>
        </w:rPr>
      </w:pPr>
    </w:p>
    <w:p w14:paraId="7A3D6703" w14:textId="210A02B6" w:rsidR="00F60885" w:rsidRPr="00044023" w:rsidRDefault="003455A7" w:rsidP="00044023">
      <w:pPr>
        <w:spacing w:line="480" w:lineRule="auto"/>
        <w:jc w:val="center"/>
        <w:rPr>
          <w:b/>
        </w:rPr>
      </w:pPr>
      <w:r>
        <w:rPr>
          <w:b/>
        </w:rPr>
        <w:t>Figure 7</w:t>
      </w:r>
      <w:r w:rsidR="00F60885" w:rsidRPr="00044023">
        <w:rPr>
          <w:b/>
        </w:rPr>
        <w:t xml:space="preserve">: </w:t>
      </w:r>
      <w:r w:rsidR="00044023" w:rsidRPr="00044023">
        <w:rPr>
          <w:b/>
        </w:rPr>
        <w:t xml:space="preserve">The relationship between decay parameter and model fit using </w:t>
      </w:r>
      <w:r>
        <w:rPr>
          <w:b/>
        </w:rPr>
        <w:t>AIC. (Lower AIC value = better)</w:t>
      </w:r>
    </w:p>
    <w:p w14:paraId="1D937919" w14:textId="77777777" w:rsidR="00F73E1F" w:rsidRPr="003400A5" w:rsidRDefault="00F73E1F" w:rsidP="003400A5">
      <w:pPr>
        <w:pStyle w:val="Heading3"/>
        <w:rPr>
          <w:color w:val="auto"/>
        </w:rPr>
      </w:pPr>
      <w:r w:rsidRPr="003400A5">
        <w:rPr>
          <w:color w:val="auto"/>
        </w:rPr>
        <w:t>Counterfactual estimation</w:t>
      </w:r>
    </w:p>
    <w:p w14:paraId="02EA21D5" w14:textId="77777777" w:rsidR="00044023" w:rsidRDefault="00F73E1F" w:rsidP="000B02C5">
      <w:pPr>
        <w:spacing w:line="480" w:lineRule="auto"/>
      </w:pPr>
      <w:r>
        <w:t xml:space="preserve">Using the approach described in the methods section, the number of additional deaths attributed to the Troubles by the model can be estimated by applying mortality risks to population sizes under both the ‘with-Troubles’ and ‘without-Troubles’ scenarios. </w:t>
      </w:r>
      <w:r w:rsidR="00F33FF6">
        <w:t>Figure 8 shows the estimated number of additional deaths at each age and year after 1972</w:t>
      </w:r>
      <w:r w:rsidR="00143745">
        <w:t xml:space="preserve">. These tend to be concentrated at the youngest </w:t>
      </w:r>
      <w:r w:rsidR="00143745">
        <w:lastRenderedPageBreak/>
        <w:t>adult ages, then reduce with age. This is further confirmed by extracting the coefficient associated with the Troubles for each age, as shown in Figure 9</w:t>
      </w:r>
      <w:r w:rsidR="00EF78B9">
        <w:t>, which include the equivalent coefficients for females if using the same model specification</w:t>
      </w:r>
      <w:r w:rsidR="00143745">
        <w:t xml:space="preserve">. </w:t>
      </w:r>
    </w:p>
    <w:p w14:paraId="3526F2AC" w14:textId="77777777" w:rsidR="003455A7" w:rsidRDefault="003455A7" w:rsidP="000B02C5">
      <w:pPr>
        <w:spacing w:line="480" w:lineRule="auto"/>
      </w:pPr>
    </w:p>
    <w:p w14:paraId="32386F80" w14:textId="77777777" w:rsidR="003455A7" w:rsidRDefault="003455A7" w:rsidP="000B02C5">
      <w:pPr>
        <w:spacing w:line="480" w:lineRule="auto"/>
      </w:pPr>
    </w:p>
    <w:p w14:paraId="3A1A5220" w14:textId="19FFE6B8" w:rsidR="003455A7" w:rsidRDefault="003455A7" w:rsidP="000B02C5">
      <w:pPr>
        <w:spacing w:line="480" w:lineRule="auto"/>
      </w:pPr>
    </w:p>
    <w:p w14:paraId="4926357C" w14:textId="34AE5ABC" w:rsidR="00044023" w:rsidRPr="00044023" w:rsidRDefault="003455A7" w:rsidP="00044023">
      <w:pPr>
        <w:spacing w:line="480" w:lineRule="auto"/>
        <w:jc w:val="center"/>
        <w:rPr>
          <w:b/>
        </w:rPr>
      </w:pPr>
      <w:r>
        <w:rPr>
          <w:b/>
        </w:rPr>
        <w:t>Figure 8</w:t>
      </w:r>
      <w:r w:rsidR="00044023" w:rsidRPr="00044023">
        <w:rPr>
          <w:b/>
        </w:rPr>
        <w:t>: Model estimated ‘excess deaths’ due to the Troubles from 1970 onwards, in males in Northern Ireland aged 15-45 years. Colours indicate numbers of deaths by age and year; th</w:t>
      </w:r>
      <w:r>
        <w:rPr>
          <w:b/>
        </w:rPr>
        <w:t>e legend is shown on the right.</w:t>
      </w:r>
    </w:p>
    <w:p w14:paraId="5E96AA0C" w14:textId="6B20A7B1" w:rsidR="00F73E1F" w:rsidRDefault="00EF78B9" w:rsidP="000B02C5">
      <w:pPr>
        <w:spacing w:line="480" w:lineRule="auto"/>
      </w:pPr>
      <w:r>
        <w:t xml:space="preserve">For males the effect is positive at almost all ages, and is largest at age 18, then falls at most older ages; for females it tends to be negative, suggesting the model may be </w:t>
      </w:r>
      <w:proofErr w:type="spellStart"/>
      <w:r>
        <w:t>misspecified</w:t>
      </w:r>
      <w:proofErr w:type="spellEnd"/>
      <w:r>
        <w:t xml:space="preserve"> for females, and instead </w:t>
      </w:r>
      <w:r w:rsidR="009140E4">
        <w:t xml:space="preserve">captures </w:t>
      </w:r>
      <w:r>
        <w:t xml:space="preserve">broader continual improvements in mortality risks over this time period. </w:t>
      </w:r>
      <w:r w:rsidR="00143745">
        <w:t xml:space="preserve">Table 1 shows the number of estimated additional </w:t>
      </w:r>
      <w:r>
        <w:t xml:space="preserve">male </w:t>
      </w:r>
      <w:r w:rsidR="00143745">
        <w:t>deaths by year and age group in five year interva</w:t>
      </w:r>
      <w:r w:rsidR="00C920BF">
        <w:t xml:space="preserve">ls to the nearest whole number for each year from 1972 to 2013, with margins indicating the total number by year and age. This estimates nearly 2800 additional deaths by 2013, with over 1000 occurring in the first three years of the conflict from 1972 to 1975. Looking by age, over half of the estimated deaths (1470 out of 2776) are estimated to have occurred in boys and men aged between 15 and 25 years inclusive. </w:t>
      </w:r>
    </w:p>
    <w:p w14:paraId="4C933FA5" w14:textId="77777777" w:rsidR="0046718C" w:rsidRDefault="0046718C" w:rsidP="000B02C5">
      <w:pPr>
        <w:spacing w:line="480" w:lineRule="auto"/>
      </w:pPr>
    </w:p>
    <w:p w14:paraId="47FD77D4" w14:textId="0942F238" w:rsidR="0046718C" w:rsidRDefault="0046718C" w:rsidP="000B02C5">
      <w:pPr>
        <w:spacing w:line="480" w:lineRule="auto"/>
      </w:pPr>
    </w:p>
    <w:p w14:paraId="3856CCD3" w14:textId="70E09015" w:rsidR="00044023" w:rsidRPr="00044023" w:rsidRDefault="00044023" w:rsidP="00044023">
      <w:pPr>
        <w:spacing w:line="480" w:lineRule="auto"/>
        <w:jc w:val="center"/>
        <w:rPr>
          <w:b/>
        </w:rPr>
      </w:pPr>
      <w:r w:rsidRPr="00044023">
        <w:rPr>
          <w:b/>
        </w:rPr>
        <w:t xml:space="preserve">Figure </w:t>
      </w:r>
      <w:r>
        <w:rPr>
          <w:b/>
        </w:rPr>
        <w:t>9</w:t>
      </w:r>
      <w:r w:rsidRPr="00044023">
        <w:rPr>
          <w:b/>
        </w:rPr>
        <w:t xml:space="preserve">: </w:t>
      </w:r>
      <w:r>
        <w:rPr>
          <w:b/>
        </w:rPr>
        <w:t>Coefficient of the ‘Troubles parameter’ by age in single years for males (blue triangle) and females (red circle).</w:t>
      </w:r>
    </w:p>
    <w:p w14:paraId="372191A8" w14:textId="3B6DBA3B" w:rsidR="00044023" w:rsidRDefault="00044023">
      <w:r>
        <w:br w:type="page"/>
      </w:r>
    </w:p>
    <w:tbl>
      <w:tblPr>
        <w:tblW w:w="7320" w:type="dxa"/>
        <w:tblLook w:val="04A0" w:firstRow="1" w:lastRow="0" w:firstColumn="1" w:lastColumn="0" w:noHBand="0" w:noVBand="1"/>
      </w:tblPr>
      <w:tblGrid>
        <w:gridCol w:w="960"/>
        <w:gridCol w:w="795"/>
        <w:gridCol w:w="794"/>
        <w:gridCol w:w="794"/>
        <w:gridCol w:w="794"/>
        <w:gridCol w:w="794"/>
        <w:gridCol w:w="794"/>
        <w:gridCol w:w="680"/>
        <w:gridCol w:w="1340"/>
      </w:tblGrid>
      <w:tr w:rsidR="00044023" w:rsidRPr="00044023" w14:paraId="095F3B05" w14:textId="77777777" w:rsidTr="00044023">
        <w:trPr>
          <w:trHeight w:val="284"/>
        </w:trPr>
        <w:tc>
          <w:tcPr>
            <w:tcW w:w="960" w:type="dxa"/>
            <w:tcBorders>
              <w:top w:val="nil"/>
              <w:left w:val="nil"/>
              <w:bottom w:val="nil"/>
              <w:right w:val="nil"/>
            </w:tcBorders>
            <w:shd w:val="clear" w:color="auto" w:fill="auto"/>
            <w:noWrap/>
            <w:vAlign w:val="bottom"/>
            <w:hideMark/>
          </w:tcPr>
          <w:p w14:paraId="2B5EB039" w14:textId="77777777" w:rsidR="00044023" w:rsidRPr="00044023" w:rsidRDefault="00044023" w:rsidP="00044023">
            <w:pPr>
              <w:spacing w:after="0" w:line="240" w:lineRule="auto"/>
              <w:rPr>
                <w:rFonts w:ascii="Times New Roman" w:eastAsia="Times New Roman" w:hAnsi="Times New Roman" w:cs="Times New Roman"/>
                <w:sz w:val="20"/>
                <w:szCs w:val="24"/>
                <w:lang w:eastAsia="en-GB"/>
              </w:rPr>
            </w:pPr>
          </w:p>
        </w:tc>
        <w:tc>
          <w:tcPr>
            <w:tcW w:w="4340" w:type="dxa"/>
            <w:gridSpan w:val="6"/>
            <w:tcBorders>
              <w:top w:val="nil"/>
              <w:left w:val="single" w:sz="4" w:space="0" w:color="auto"/>
              <w:bottom w:val="nil"/>
              <w:right w:val="single" w:sz="4" w:space="0" w:color="000000"/>
            </w:tcBorders>
            <w:shd w:val="clear" w:color="auto" w:fill="auto"/>
            <w:noWrap/>
            <w:vAlign w:val="bottom"/>
            <w:hideMark/>
          </w:tcPr>
          <w:p w14:paraId="6A9B4BED"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Age Group</w:t>
            </w:r>
          </w:p>
        </w:tc>
        <w:tc>
          <w:tcPr>
            <w:tcW w:w="680" w:type="dxa"/>
            <w:tcBorders>
              <w:top w:val="nil"/>
              <w:left w:val="nil"/>
              <w:bottom w:val="nil"/>
              <w:right w:val="nil"/>
            </w:tcBorders>
            <w:shd w:val="clear" w:color="auto" w:fill="auto"/>
            <w:noWrap/>
            <w:vAlign w:val="bottom"/>
            <w:hideMark/>
          </w:tcPr>
          <w:p w14:paraId="62BCBF67" w14:textId="77777777" w:rsidR="00044023" w:rsidRPr="00044023" w:rsidRDefault="00044023" w:rsidP="00044023">
            <w:pPr>
              <w:spacing w:after="0" w:line="240" w:lineRule="auto"/>
              <w:jc w:val="center"/>
              <w:rPr>
                <w:rFonts w:ascii="Calibri" w:eastAsia="Times New Roman" w:hAnsi="Calibri" w:cs="Times New Roman"/>
                <w:b/>
                <w:bCs/>
                <w:color w:val="000000"/>
                <w:sz w:val="20"/>
                <w:lang w:eastAsia="en-GB"/>
              </w:rPr>
            </w:pPr>
          </w:p>
        </w:tc>
        <w:tc>
          <w:tcPr>
            <w:tcW w:w="1340" w:type="dxa"/>
            <w:tcBorders>
              <w:top w:val="nil"/>
              <w:left w:val="nil"/>
              <w:bottom w:val="nil"/>
              <w:right w:val="nil"/>
            </w:tcBorders>
            <w:shd w:val="clear" w:color="auto" w:fill="auto"/>
            <w:noWrap/>
            <w:vAlign w:val="bottom"/>
            <w:hideMark/>
          </w:tcPr>
          <w:p w14:paraId="7E07B95E" w14:textId="77777777" w:rsidR="00044023" w:rsidRPr="00044023" w:rsidRDefault="00044023" w:rsidP="00044023">
            <w:pPr>
              <w:spacing w:after="0" w:line="240" w:lineRule="auto"/>
              <w:rPr>
                <w:rFonts w:ascii="Times New Roman" w:eastAsia="Times New Roman" w:hAnsi="Times New Roman" w:cs="Times New Roman"/>
                <w:sz w:val="20"/>
                <w:szCs w:val="20"/>
                <w:lang w:eastAsia="en-GB"/>
              </w:rPr>
            </w:pPr>
          </w:p>
        </w:tc>
      </w:tr>
      <w:tr w:rsidR="00044023" w:rsidRPr="00044023" w14:paraId="7ED1A1E2" w14:textId="77777777" w:rsidTr="00044023">
        <w:trPr>
          <w:trHeight w:val="288"/>
        </w:trPr>
        <w:tc>
          <w:tcPr>
            <w:tcW w:w="960" w:type="dxa"/>
            <w:tcBorders>
              <w:top w:val="nil"/>
              <w:left w:val="nil"/>
              <w:bottom w:val="nil"/>
              <w:right w:val="nil"/>
            </w:tcBorders>
            <w:shd w:val="clear" w:color="auto" w:fill="auto"/>
            <w:noWrap/>
            <w:vAlign w:val="bottom"/>
            <w:hideMark/>
          </w:tcPr>
          <w:p w14:paraId="2567E9A3"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Year</w:t>
            </w:r>
          </w:p>
        </w:tc>
        <w:tc>
          <w:tcPr>
            <w:tcW w:w="724" w:type="dxa"/>
            <w:tcBorders>
              <w:top w:val="nil"/>
              <w:left w:val="single" w:sz="4" w:space="0" w:color="auto"/>
              <w:bottom w:val="nil"/>
              <w:right w:val="nil"/>
            </w:tcBorders>
            <w:shd w:val="clear" w:color="auto" w:fill="auto"/>
            <w:noWrap/>
            <w:vAlign w:val="bottom"/>
            <w:hideMark/>
          </w:tcPr>
          <w:p w14:paraId="1E7ADC3F"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[15,20]</w:t>
            </w:r>
          </w:p>
        </w:tc>
        <w:tc>
          <w:tcPr>
            <w:tcW w:w="724" w:type="dxa"/>
            <w:tcBorders>
              <w:top w:val="nil"/>
              <w:left w:val="nil"/>
              <w:bottom w:val="nil"/>
              <w:right w:val="nil"/>
            </w:tcBorders>
            <w:shd w:val="clear" w:color="auto" w:fill="auto"/>
            <w:noWrap/>
            <w:vAlign w:val="bottom"/>
            <w:hideMark/>
          </w:tcPr>
          <w:p w14:paraId="6A60220B"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(20,25]</w:t>
            </w:r>
          </w:p>
        </w:tc>
        <w:tc>
          <w:tcPr>
            <w:tcW w:w="723" w:type="dxa"/>
            <w:tcBorders>
              <w:top w:val="nil"/>
              <w:left w:val="nil"/>
              <w:bottom w:val="nil"/>
              <w:right w:val="nil"/>
            </w:tcBorders>
            <w:shd w:val="clear" w:color="auto" w:fill="auto"/>
            <w:noWrap/>
            <w:vAlign w:val="bottom"/>
            <w:hideMark/>
          </w:tcPr>
          <w:p w14:paraId="0506F2F1"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(25,30]</w:t>
            </w:r>
          </w:p>
        </w:tc>
        <w:tc>
          <w:tcPr>
            <w:tcW w:w="723" w:type="dxa"/>
            <w:tcBorders>
              <w:top w:val="nil"/>
              <w:left w:val="nil"/>
              <w:bottom w:val="nil"/>
              <w:right w:val="nil"/>
            </w:tcBorders>
            <w:shd w:val="clear" w:color="auto" w:fill="auto"/>
            <w:noWrap/>
            <w:vAlign w:val="bottom"/>
            <w:hideMark/>
          </w:tcPr>
          <w:p w14:paraId="76A2AD16"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(30,35]</w:t>
            </w:r>
          </w:p>
        </w:tc>
        <w:tc>
          <w:tcPr>
            <w:tcW w:w="723" w:type="dxa"/>
            <w:tcBorders>
              <w:top w:val="nil"/>
              <w:left w:val="nil"/>
              <w:bottom w:val="nil"/>
              <w:right w:val="nil"/>
            </w:tcBorders>
            <w:shd w:val="clear" w:color="auto" w:fill="auto"/>
            <w:noWrap/>
            <w:vAlign w:val="bottom"/>
            <w:hideMark/>
          </w:tcPr>
          <w:p w14:paraId="59D7254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(35,40]</w:t>
            </w:r>
          </w:p>
        </w:tc>
        <w:tc>
          <w:tcPr>
            <w:tcW w:w="723" w:type="dxa"/>
            <w:tcBorders>
              <w:top w:val="nil"/>
              <w:left w:val="nil"/>
              <w:bottom w:val="nil"/>
              <w:right w:val="single" w:sz="4" w:space="0" w:color="auto"/>
            </w:tcBorders>
            <w:shd w:val="clear" w:color="auto" w:fill="auto"/>
            <w:noWrap/>
            <w:vAlign w:val="bottom"/>
            <w:hideMark/>
          </w:tcPr>
          <w:p w14:paraId="2DBDA0B5" w14:textId="77777777" w:rsidR="00044023" w:rsidRPr="00044023" w:rsidRDefault="00044023" w:rsidP="00044023">
            <w:pPr>
              <w:spacing w:after="0" w:line="240" w:lineRule="auto"/>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(40,45]</w:t>
            </w:r>
          </w:p>
        </w:tc>
        <w:tc>
          <w:tcPr>
            <w:tcW w:w="680" w:type="dxa"/>
            <w:tcBorders>
              <w:top w:val="nil"/>
              <w:left w:val="nil"/>
              <w:bottom w:val="nil"/>
              <w:right w:val="nil"/>
            </w:tcBorders>
            <w:shd w:val="clear" w:color="auto" w:fill="auto"/>
            <w:noWrap/>
            <w:vAlign w:val="bottom"/>
            <w:hideMark/>
          </w:tcPr>
          <w:p w14:paraId="5ECB1505"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1340" w:type="dxa"/>
            <w:tcBorders>
              <w:top w:val="nil"/>
              <w:left w:val="nil"/>
              <w:bottom w:val="nil"/>
              <w:right w:val="nil"/>
            </w:tcBorders>
            <w:shd w:val="clear" w:color="auto" w:fill="auto"/>
            <w:noWrap/>
            <w:vAlign w:val="bottom"/>
            <w:hideMark/>
          </w:tcPr>
          <w:p w14:paraId="2FF255C8" w14:textId="77777777" w:rsidR="00044023" w:rsidRPr="00044023" w:rsidRDefault="00044023" w:rsidP="00044023">
            <w:pPr>
              <w:spacing w:after="0" w:line="240" w:lineRule="auto"/>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Cumulative</w:t>
            </w:r>
          </w:p>
        </w:tc>
      </w:tr>
      <w:tr w:rsidR="00044023" w:rsidRPr="00044023" w14:paraId="3CBC7996" w14:textId="77777777" w:rsidTr="00044023">
        <w:trPr>
          <w:trHeight w:val="136"/>
        </w:trPr>
        <w:tc>
          <w:tcPr>
            <w:tcW w:w="960" w:type="dxa"/>
            <w:tcBorders>
              <w:top w:val="nil"/>
              <w:left w:val="nil"/>
              <w:bottom w:val="nil"/>
              <w:right w:val="nil"/>
            </w:tcBorders>
            <w:shd w:val="clear" w:color="auto" w:fill="auto"/>
            <w:noWrap/>
            <w:vAlign w:val="bottom"/>
            <w:hideMark/>
          </w:tcPr>
          <w:p w14:paraId="4B3C5F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1972</w:t>
            </w:r>
          </w:p>
        </w:tc>
        <w:tc>
          <w:tcPr>
            <w:tcW w:w="724" w:type="dxa"/>
            <w:tcBorders>
              <w:top w:val="nil"/>
              <w:left w:val="single" w:sz="4" w:space="0" w:color="auto"/>
              <w:bottom w:val="nil"/>
              <w:right w:val="nil"/>
            </w:tcBorders>
            <w:shd w:val="clear" w:color="auto" w:fill="auto"/>
            <w:noWrap/>
            <w:vAlign w:val="bottom"/>
            <w:hideMark/>
          </w:tcPr>
          <w:p w14:paraId="661D0A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101</w:t>
            </w:r>
          </w:p>
        </w:tc>
        <w:tc>
          <w:tcPr>
            <w:tcW w:w="724" w:type="dxa"/>
            <w:tcBorders>
              <w:top w:val="nil"/>
              <w:left w:val="nil"/>
              <w:bottom w:val="nil"/>
              <w:right w:val="nil"/>
            </w:tcBorders>
            <w:shd w:val="clear" w:color="auto" w:fill="auto"/>
            <w:noWrap/>
            <w:vAlign w:val="bottom"/>
            <w:hideMark/>
          </w:tcPr>
          <w:p w14:paraId="032335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78</w:t>
            </w:r>
          </w:p>
        </w:tc>
        <w:tc>
          <w:tcPr>
            <w:tcW w:w="723" w:type="dxa"/>
            <w:tcBorders>
              <w:top w:val="nil"/>
              <w:left w:val="nil"/>
              <w:bottom w:val="nil"/>
              <w:right w:val="nil"/>
            </w:tcBorders>
            <w:shd w:val="clear" w:color="auto" w:fill="auto"/>
            <w:noWrap/>
            <w:vAlign w:val="bottom"/>
            <w:hideMark/>
          </w:tcPr>
          <w:p w14:paraId="78C0A8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120F4A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3" w:type="dxa"/>
            <w:tcBorders>
              <w:top w:val="nil"/>
              <w:left w:val="nil"/>
              <w:bottom w:val="nil"/>
              <w:right w:val="nil"/>
            </w:tcBorders>
            <w:shd w:val="clear" w:color="auto" w:fill="auto"/>
            <w:noWrap/>
            <w:vAlign w:val="bottom"/>
            <w:hideMark/>
          </w:tcPr>
          <w:p w14:paraId="6FB44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single" w:sz="4" w:space="0" w:color="auto"/>
            </w:tcBorders>
            <w:shd w:val="clear" w:color="auto" w:fill="auto"/>
            <w:noWrap/>
            <w:vAlign w:val="bottom"/>
            <w:hideMark/>
          </w:tcPr>
          <w:p w14:paraId="727FF5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46</w:t>
            </w:r>
          </w:p>
        </w:tc>
        <w:tc>
          <w:tcPr>
            <w:tcW w:w="680" w:type="dxa"/>
            <w:tcBorders>
              <w:top w:val="nil"/>
              <w:left w:val="nil"/>
              <w:bottom w:val="nil"/>
              <w:right w:val="nil"/>
            </w:tcBorders>
            <w:shd w:val="clear" w:color="auto" w:fill="auto"/>
            <w:noWrap/>
            <w:vAlign w:val="bottom"/>
            <w:hideMark/>
          </w:tcPr>
          <w:p w14:paraId="320C036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c>
          <w:tcPr>
            <w:tcW w:w="1340" w:type="dxa"/>
            <w:tcBorders>
              <w:top w:val="nil"/>
              <w:left w:val="nil"/>
              <w:bottom w:val="nil"/>
              <w:right w:val="nil"/>
            </w:tcBorders>
            <w:shd w:val="clear" w:color="auto" w:fill="auto"/>
            <w:noWrap/>
            <w:vAlign w:val="bottom"/>
            <w:hideMark/>
          </w:tcPr>
          <w:p w14:paraId="11EC99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322</w:t>
            </w:r>
          </w:p>
        </w:tc>
      </w:tr>
      <w:tr w:rsidR="00044023" w:rsidRPr="00044023" w14:paraId="3386F714" w14:textId="77777777" w:rsidTr="00044023">
        <w:trPr>
          <w:trHeight w:val="182"/>
        </w:trPr>
        <w:tc>
          <w:tcPr>
            <w:tcW w:w="960" w:type="dxa"/>
            <w:tcBorders>
              <w:top w:val="nil"/>
              <w:left w:val="nil"/>
              <w:bottom w:val="nil"/>
              <w:right w:val="nil"/>
            </w:tcBorders>
            <w:shd w:val="clear" w:color="auto" w:fill="auto"/>
            <w:noWrap/>
            <w:vAlign w:val="bottom"/>
            <w:hideMark/>
          </w:tcPr>
          <w:p w14:paraId="259132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1973</w:t>
            </w:r>
          </w:p>
        </w:tc>
        <w:tc>
          <w:tcPr>
            <w:tcW w:w="724" w:type="dxa"/>
            <w:tcBorders>
              <w:top w:val="nil"/>
              <w:left w:val="single" w:sz="4" w:space="0" w:color="auto"/>
              <w:bottom w:val="nil"/>
              <w:right w:val="nil"/>
            </w:tcBorders>
            <w:shd w:val="clear" w:color="auto" w:fill="auto"/>
            <w:noWrap/>
            <w:vAlign w:val="bottom"/>
            <w:hideMark/>
          </w:tcPr>
          <w:p w14:paraId="4E3BFB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86</w:t>
            </w:r>
          </w:p>
        </w:tc>
        <w:tc>
          <w:tcPr>
            <w:tcW w:w="724" w:type="dxa"/>
            <w:tcBorders>
              <w:top w:val="nil"/>
              <w:left w:val="nil"/>
              <w:bottom w:val="nil"/>
              <w:right w:val="nil"/>
            </w:tcBorders>
            <w:shd w:val="clear" w:color="auto" w:fill="auto"/>
            <w:noWrap/>
            <w:vAlign w:val="bottom"/>
            <w:hideMark/>
          </w:tcPr>
          <w:p w14:paraId="6E31A7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723" w:type="dxa"/>
            <w:tcBorders>
              <w:top w:val="nil"/>
              <w:left w:val="nil"/>
              <w:bottom w:val="nil"/>
              <w:right w:val="nil"/>
            </w:tcBorders>
            <w:shd w:val="clear" w:color="auto" w:fill="auto"/>
            <w:noWrap/>
            <w:vAlign w:val="bottom"/>
            <w:hideMark/>
          </w:tcPr>
          <w:p w14:paraId="01F3F36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3" w:type="dxa"/>
            <w:tcBorders>
              <w:top w:val="nil"/>
              <w:left w:val="nil"/>
              <w:bottom w:val="nil"/>
              <w:right w:val="nil"/>
            </w:tcBorders>
            <w:shd w:val="clear" w:color="auto" w:fill="auto"/>
            <w:noWrap/>
            <w:vAlign w:val="bottom"/>
            <w:hideMark/>
          </w:tcPr>
          <w:p w14:paraId="06CD93D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29</w:t>
            </w:r>
          </w:p>
        </w:tc>
        <w:tc>
          <w:tcPr>
            <w:tcW w:w="723" w:type="dxa"/>
            <w:tcBorders>
              <w:top w:val="nil"/>
              <w:left w:val="nil"/>
              <w:bottom w:val="nil"/>
              <w:right w:val="nil"/>
            </w:tcBorders>
            <w:shd w:val="clear" w:color="auto" w:fill="auto"/>
            <w:noWrap/>
            <w:vAlign w:val="bottom"/>
            <w:hideMark/>
          </w:tcPr>
          <w:p w14:paraId="17ADFF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single" w:sz="4" w:space="0" w:color="auto"/>
            </w:tcBorders>
            <w:shd w:val="clear" w:color="auto" w:fill="auto"/>
            <w:noWrap/>
            <w:vAlign w:val="bottom"/>
            <w:hideMark/>
          </w:tcPr>
          <w:p w14:paraId="092D7C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680" w:type="dxa"/>
            <w:tcBorders>
              <w:top w:val="nil"/>
              <w:left w:val="nil"/>
              <w:bottom w:val="nil"/>
              <w:right w:val="nil"/>
            </w:tcBorders>
            <w:shd w:val="clear" w:color="auto" w:fill="auto"/>
            <w:noWrap/>
            <w:vAlign w:val="bottom"/>
            <w:hideMark/>
          </w:tcPr>
          <w:p w14:paraId="310BC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279</w:t>
            </w:r>
          </w:p>
        </w:tc>
        <w:tc>
          <w:tcPr>
            <w:tcW w:w="1340" w:type="dxa"/>
            <w:tcBorders>
              <w:top w:val="nil"/>
              <w:left w:val="nil"/>
              <w:bottom w:val="nil"/>
              <w:right w:val="nil"/>
            </w:tcBorders>
            <w:shd w:val="clear" w:color="auto" w:fill="auto"/>
            <w:noWrap/>
            <w:vAlign w:val="bottom"/>
            <w:hideMark/>
          </w:tcPr>
          <w:p w14:paraId="2B428F7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601</w:t>
            </w:r>
          </w:p>
        </w:tc>
      </w:tr>
      <w:tr w:rsidR="00044023" w:rsidRPr="00044023" w14:paraId="36EBD519" w14:textId="77777777" w:rsidTr="00044023">
        <w:trPr>
          <w:trHeight w:val="73"/>
        </w:trPr>
        <w:tc>
          <w:tcPr>
            <w:tcW w:w="960" w:type="dxa"/>
            <w:tcBorders>
              <w:top w:val="nil"/>
              <w:left w:val="nil"/>
              <w:bottom w:val="nil"/>
              <w:right w:val="nil"/>
            </w:tcBorders>
            <w:shd w:val="clear" w:color="auto" w:fill="auto"/>
            <w:noWrap/>
            <w:vAlign w:val="bottom"/>
            <w:hideMark/>
          </w:tcPr>
          <w:p w14:paraId="5BC17B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1974</w:t>
            </w:r>
          </w:p>
        </w:tc>
        <w:tc>
          <w:tcPr>
            <w:tcW w:w="724" w:type="dxa"/>
            <w:tcBorders>
              <w:top w:val="nil"/>
              <w:left w:val="single" w:sz="4" w:space="0" w:color="auto"/>
              <w:bottom w:val="nil"/>
              <w:right w:val="nil"/>
            </w:tcBorders>
            <w:shd w:val="clear" w:color="auto" w:fill="auto"/>
            <w:noWrap/>
            <w:vAlign w:val="bottom"/>
            <w:hideMark/>
          </w:tcPr>
          <w:p w14:paraId="28AB5BF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73</w:t>
            </w:r>
          </w:p>
        </w:tc>
        <w:tc>
          <w:tcPr>
            <w:tcW w:w="724" w:type="dxa"/>
            <w:tcBorders>
              <w:top w:val="nil"/>
              <w:left w:val="nil"/>
              <w:bottom w:val="nil"/>
              <w:right w:val="nil"/>
            </w:tcBorders>
            <w:shd w:val="clear" w:color="auto" w:fill="auto"/>
            <w:noWrap/>
            <w:vAlign w:val="bottom"/>
            <w:hideMark/>
          </w:tcPr>
          <w:p w14:paraId="50F3E3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58</w:t>
            </w:r>
          </w:p>
        </w:tc>
        <w:tc>
          <w:tcPr>
            <w:tcW w:w="723" w:type="dxa"/>
            <w:tcBorders>
              <w:top w:val="nil"/>
              <w:left w:val="nil"/>
              <w:bottom w:val="nil"/>
              <w:right w:val="nil"/>
            </w:tcBorders>
            <w:shd w:val="clear" w:color="auto" w:fill="auto"/>
            <w:noWrap/>
            <w:vAlign w:val="bottom"/>
            <w:hideMark/>
          </w:tcPr>
          <w:p w14:paraId="377CDD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4C4D84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54D0E3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single" w:sz="4" w:space="0" w:color="auto"/>
            </w:tcBorders>
            <w:shd w:val="clear" w:color="auto" w:fill="auto"/>
            <w:noWrap/>
            <w:vAlign w:val="bottom"/>
            <w:hideMark/>
          </w:tcPr>
          <w:p w14:paraId="6CA6707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680" w:type="dxa"/>
            <w:tcBorders>
              <w:top w:val="nil"/>
              <w:left w:val="nil"/>
              <w:bottom w:val="nil"/>
              <w:right w:val="nil"/>
            </w:tcBorders>
            <w:shd w:val="clear" w:color="auto" w:fill="auto"/>
            <w:noWrap/>
            <w:vAlign w:val="bottom"/>
            <w:hideMark/>
          </w:tcPr>
          <w:p w14:paraId="483521E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243</w:t>
            </w:r>
          </w:p>
        </w:tc>
        <w:tc>
          <w:tcPr>
            <w:tcW w:w="1340" w:type="dxa"/>
            <w:tcBorders>
              <w:top w:val="nil"/>
              <w:left w:val="nil"/>
              <w:bottom w:val="nil"/>
              <w:right w:val="nil"/>
            </w:tcBorders>
            <w:shd w:val="clear" w:color="auto" w:fill="auto"/>
            <w:noWrap/>
            <w:vAlign w:val="bottom"/>
            <w:hideMark/>
          </w:tcPr>
          <w:p w14:paraId="396370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844</w:t>
            </w:r>
          </w:p>
        </w:tc>
      </w:tr>
      <w:tr w:rsidR="00044023" w:rsidRPr="00044023" w14:paraId="3C8188AE" w14:textId="77777777" w:rsidTr="00044023">
        <w:trPr>
          <w:trHeight w:val="68"/>
        </w:trPr>
        <w:tc>
          <w:tcPr>
            <w:tcW w:w="960" w:type="dxa"/>
            <w:tcBorders>
              <w:top w:val="nil"/>
              <w:left w:val="nil"/>
              <w:bottom w:val="nil"/>
              <w:right w:val="nil"/>
            </w:tcBorders>
            <w:shd w:val="clear" w:color="auto" w:fill="auto"/>
            <w:noWrap/>
            <w:vAlign w:val="bottom"/>
            <w:hideMark/>
          </w:tcPr>
          <w:p w14:paraId="105A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1975</w:t>
            </w:r>
          </w:p>
        </w:tc>
        <w:tc>
          <w:tcPr>
            <w:tcW w:w="724" w:type="dxa"/>
            <w:tcBorders>
              <w:top w:val="nil"/>
              <w:left w:val="single" w:sz="4" w:space="0" w:color="auto"/>
              <w:bottom w:val="nil"/>
              <w:right w:val="nil"/>
            </w:tcBorders>
            <w:shd w:val="clear" w:color="auto" w:fill="auto"/>
            <w:noWrap/>
            <w:vAlign w:val="bottom"/>
            <w:hideMark/>
          </w:tcPr>
          <w:p w14:paraId="0B04FD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64</w:t>
            </w:r>
          </w:p>
        </w:tc>
        <w:tc>
          <w:tcPr>
            <w:tcW w:w="724" w:type="dxa"/>
            <w:tcBorders>
              <w:top w:val="nil"/>
              <w:left w:val="nil"/>
              <w:bottom w:val="nil"/>
              <w:right w:val="nil"/>
            </w:tcBorders>
            <w:shd w:val="clear" w:color="auto" w:fill="auto"/>
            <w:noWrap/>
            <w:vAlign w:val="bottom"/>
            <w:hideMark/>
          </w:tcPr>
          <w:p w14:paraId="597DC46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50</w:t>
            </w:r>
          </w:p>
        </w:tc>
        <w:tc>
          <w:tcPr>
            <w:tcW w:w="723" w:type="dxa"/>
            <w:tcBorders>
              <w:top w:val="nil"/>
              <w:left w:val="nil"/>
              <w:bottom w:val="nil"/>
              <w:right w:val="nil"/>
            </w:tcBorders>
            <w:shd w:val="clear" w:color="auto" w:fill="auto"/>
            <w:noWrap/>
            <w:vAlign w:val="bottom"/>
            <w:hideMark/>
          </w:tcPr>
          <w:p w14:paraId="48E3B5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62C516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3E07F0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single" w:sz="4" w:space="0" w:color="auto"/>
            </w:tcBorders>
            <w:shd w:val="clear" w:color="auto" w:fill="auto"/>
            <w:noWrap/>
            <w:vAlign w:val="bottom"/>
            <w:hideMark/>
          </w:tcPr>
          <w:p w14:paraId="51A792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680" w:type="dxa"/>
            <w:tcBorders>
              <w:top w:val="nil"/>
              <w:left w:val="nil"/>
              <w:bottom w:val="nil"/>
              <w:right w:val="nil"/>
            </w:tcBorders>
            <w:shd w:val="clear" w:color="auto" w:fill="auto"/>
            <w:noWrap/>
            <w:vAlign w:val="bottom"/>
            <w:hideMark/>
          </w:tcPr>
          <w:p w14:paraId="24A576A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212</w:t>
            </w:r>
          </w:p>
        </w:tc>
        <w:tc>
          <w:tcPr>
            <w:tcW w:w="1340" w:type="dxa"/>
            <w:tcBorders>
              <w:top w:val="nil"/>
              <w:left w:val="nil"/>
              <w:bottom w:val="nil"/>
              <w:right w:val="nil"/>
            </w:tcBorders>
            <w:shd w:val="clear" w:color="auto" w:fill="auto"/>
            <w:noWrap/>
            <w:vAlign w:val="bottom"/>
            <w:hideMark/>
          </w:tcPr>
          <w:p w14:paraId="7AC6ED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1056</w:t>
            </w:r>
          </w:p>
        </w:tc>
      </w:tr>
      <w:tr w:rsidR="00044023" w:rsidRPr="00044023" w14:paraId="0ED7732A" w14:textId="77777777" w:rsidTr="00044023">
        <w:trPr>
          <w:trHeight w:val="68"/>
        </w:trPr>
        <w:tc>
          <w:tcPr>
            <w:tcW w:w="960" w:type="dxa"/>
            <w:tcBorders>
              <w:top w:val="nil"/>
              <w:left w:val="nil"/>
              <w:bottom w:val="nil"/>
              <w:right w:val="nil"/>
            </w:tcBorders>
            <w:shd w:val="clear" w:color="auto" w:fill="auto"/>
            <w:noWrap/>
            <w:vAlign w:val="bottom"/>
            <w:hideMark/>
          </w:tcPr>
          <w:p w14:paraId="50655D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1976</w:t>
            </w:r>
          </w:p>
        </w:tc>
        <w:tc>
          <w:tcPr>
            <w:tcW w:w="724" w:type="dxa"/>
            <w:tcBorders>
              <w:top w:val="nil"/>
              <w:left w:val="single" w:sz="4" w:space="0" w:color="auto"/>
              <w:bottom w:val="nil"/>
              <w:right w:val="nil"/>
            </w:tcBorders>
            <w:shd w:val="clear" w:color="auto" w:fill="auto"/>
            <w:noWrap/>
            <w:vAlign w:val="bottom"/>
            <w:hideMark/>
          </w:tcPr>
          <w:p w14:paraId="5BBE96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56</w:t>
            </w:r>
          </w:p>
        </w:tc>
        <w:tc>
          <w:tcPr>
            <w:tcW w:w="724" w:type="dxa"/>
            <w:tcBorders>
              <w:top w:val="nil"/>
              <w:left w:val="nil"/>
              <w:bottom w:val="nil"/>
              <w:right w:val="nil"/>
            </w:tcBorders>
            <w:shd w:val="clear" w:color="auto" w:fill="auto"/>
            <w:noWrap/>
            <w:vAlign w:val="bottom"/>
            <w:hideMark/>
          </w:tcPr>
          <w:p w14:paraId="39B040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723" w:type="dxa"/>
            <w:tcBorders>
              <w:top w:val="nil"/>
              <w:left w:val="nil"/>
              <w:bottom w:val="nil"/>
              <w:right w:val="nil"/>
            </w:tcBorders>
            <w:shd w:val="clear" w:color="auto" w:fill="auto"/>
            <w:noWrap/>
            <w:vAlign w:val="bottom"/>
            <w:hideMark/>
          </w:tcPr>
          <w:p w14:paraId="39B423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723" w:type="dxa"/>
            <w:tcBorders>
              <w:top w:val="nil"/>
              <w:left w:val="nil"/>
              <w:bottom w:val="nil"/>
              <w:right w:val="nil"/>
            </w:tcBorders>
            <w:shd w:val="clear" w:color="auto" w:fill="auto"/>
            <w:noWrap/>
            <w:vAlign w:val="bottom"/>
            <w:hideMark/>
          </w:tcPr>
          <w:p w14:paraId="4EC532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w:t>
            </w:r>
          </w:p>
        </w:tc>
        <w:tc>
          <w:tcPr>
            <w:tcW w:w="723" w:type="dxa"/>
            <w:tcBorders>
              <w:top w:val="nil"/>
              <w:left w:val="nil"/>
              <w:bottom w:val="nil"/>
              <w:right w:val="nil"/>
            </w:tcBorders>
            <w:shd w:val="clear" w:color="auto" w:fill="auto"/>
            <w:noWrap/>
            <w:vAlign w:val="bottom"/>
            <w:hideMark/>
          </w:tcPr>
          <w:p w14:paraId="7E3483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single" w:sz="4" w:space="0" w:color="auto"/>
            </w:tcBorders>
            <w:shd w:val="clear" w:color="auto" w:fill="auto"/>
            <w:noWrap/>
            <w:vAlign w:val="bottom"/>
            <w:hideMark/>
          </w:tcPr>
          <w:p w14:paraId="3FA7F7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w:t>
            </w:r>
          </w:p>
        </w:tc>
        <w:tc>
          <w:tcPr>
            <w:tcW w:w="680" w:type="dxa"/>
            <w:tcBorders>
              <w:top w:val="nil"/>
              <w:left w:val="nil"/>
              <w:bottom w:val="nil"/>
              <w:right w:val="nil"/>
            </w:tcBorders>
            <w:shd w:val="clear" w:color="auto" w:fill="auto"/>
            <w:noWrap/>
            <w:vAlign w:val="bottom"/>
            <w:hideMark/>
          </w:tcPr>
          <w:p w14:paraId="29DA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186</w:t>
            </w:r>
          </w:p>
        </w:tc>
        <w:tc>
          <w:tcPr>
            <w:tcW w:w="1340" w:type="dxa"/>
            <w:tcBorders>
              <w:top w:val="nil"/>
              <w:left w:val="nil"/>
              <w:bottom w:val="nil"/>
              <w:right w:val="nil"/>
            </w:tcBorders>
            <w:shd w:val="clear" w:color="auto" w:fill="auto"/>
            <w:noWrap/>
            <w:vAlign w:val="bottom"/>
            <w:hideMark/>
          </w:tcPr>
          <w:p w14:paraId="4AB4A2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1242</w:t>
            </w:r>
          </w:p>
        </w:tc>
      </w:tr>
      <w:tr w:rsidR="00044023" w:rsidRPr="00044023" w14:paraId="5FDB6802" w14:textId="77777777" w:rsidTr="00044023">
        <w:trPr>
          <w:trHeight w:val="68"/>
        </w:trPr>
        <w:tc>
          <w:tcPr>
            <w:tcW w:w="960" w:type="dxa"/>
            <w:tcBorders>
              <w:top w:val="nil"/>
              <w:left w:val="nil"/>
              <w:bottom w:val="nil"/>
              <w:right w:val="nil"/>
            </w:tcBorders>
            <w:shd w:val="clear" w:color="auto" w:fill="auto"/>
            <w:noWrap/>
            <w:vAlign w:val="bottom"/>
            <w:hideMark/>
          </w:tcPr>
          <w:p w14:paraId="7A69C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1977</w:t>
            </w:r>
          </w:p>
        </w:tc>
        <w:tc>
          <w:tcPr>
            <w:tcW w:w="724" w:type="dxa"/>
            <w:tcBorders>
              <w:top w:val="nil"/>
              <w:left w:val="single" w:sz="4" w:space="0" w:color="auto"/>
              <w:bottom w:val="nil"/>
              <w:right w:val="nil"/>
            </w:tcBorders>
            <w:shd w:val="clear" w:color="auto" w:fill="auto"/>
            <w:noWrap/>
            <w:vAlign w:val="bottom"/>
            <w:hideMark/>
          </w:tcPr>
          <w:p w14:paraId="46B9B0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724" w:type="dxa"/>
            <w:tcBorders>
              <w:top w:val="nil"/>
              <w:left w:val="nil"/>
              <w:bottom w:val="nil"/>
              <w:right w:val="nil"/>
            </w:tcBorders>
            <w:shd w:val="clear" w:color="auto" w:fill="auto"/>
            <w:noWrap/>
            <w:vAlign w:val="bottom"/>
            <w:hideMark/>
          </w:tcPr>
          <w:p w14:paraId="5CA6E0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w:t>
            </w:r>
          </w:p>
        </w:tc>
        <w:tc>
          <w:tcPr>
            <w:tcW w:w="723" w:type="dxa"/>
            <w:tcBorders>
              <w:top w:val="nil"/>
              <w:left w:val="nil"/>
              <w:bottom w:val="nil"/>
              <w:right w:val="nil"/>
            </w:tcBorders>
            <w:shd w:val="clear" w:color="auto" w:fill="auto"/>
            <w:noWrap/>
            <w:vAlign w:val="bottom"/>
            <w:hideMark/>
          </w:tcPr>
          <w:p w14:paraId="090106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723" w:type="dxa"/>
            <w:tcBorders>
              <w:top w:val="nil"/>
              <w:left w:val="nil"/>
              <w:bottom w:val="nil"/>
              <w:right w:val="nil"/>
            </w:tcBorders>
            <w:shd w:val="clear" w:color="auto" w:fill="auto"/>
            <w:noWrap/>
            <w:vAlign w:val="bottom"/>
            <w:hideMark/>
          </w:tcPr>
          <w:p w14:paraId="075C38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w:t>
            </w:r>
          </w:p>
        </w:tc>
        <w:tc>
          <w:tcPr>
            <w:tcW w:w="723" w:type="dxa"/>
            <w:tcBorders>
              <w:top w:val="nil"/>
              <w:left w:val="nil"/>
              <w:bottom w:val="nil"/>
              <w:right w:val="nil"/>
            </w:tcBorders>
            <w:shd w:val="clear" w:color="auto" w:fill="auto"/>
            <w:noWrap/>
            <w:vAlign w:val="bottom"/>
            <w:hideMark/>
          </w:tcPr>
          <w:p w14:paraId="77FA0A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single" w:sz="4" w:space="0" w:color="auto"/>
            </w:tcBorders>
            <w:shd w:val="clear" w:color="auto" w:fill="auto"/>
            <w:noWrap/>
            <w:vAlign w:val="bottom"/>
            <w:hideMark/>
          </w:tcPr>
          <w:p w14:paraId="4E622D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w:t>
            </w:r>
          </w:p>
        </w:tc>
        <w:tc>
          <w:tcPr>
            <w:tcW w:w="680" w:type="dxa"/>
            <w:tcBorders>
              <w:top w:val="nil"/>
              <w:left w:val="nil"/>
              <w:bottom w:val="nil"/>
              <w:right w:val="nil"/>
            </w:tcBorders>
            <w:shd w:val="clear" w:color="auto" w:fill="auto"/>
            <w:noWrap/>
            <w:vAlign w:val="bottom"/>
            <w:hideMark/>
          </w:tcPr>
          <w:p w14:paraId="277B98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164</w:t>
            </w:r>
          </w:p>
        </w:tc>
        <w:tc>
          <w:tcPr>
            <w:tcW w:w="1340" w:type="dxa"/>
            <w:tcBorders>
              <w:top w:val="nil"/>
              <w:left w:val="nil"/>
              <w:bottom w:val="nil"/>
              <w:right w:val="nil"/>
            </w:tcBorders>
            <w:shd w:val="clear" w:color="auto" w:fill="auto"/>
            <w:noWrap/>
            <w:vAlign w:val="bottom"/>
            <w:hideMark/>
          </w:tcPr>
          <w:p w14:paraId="4B964B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1407</w:t>
            </w:r>
          </w:p>
        </w:tc>
      </w:tr>
      <w:tr w:rsidR="00044023" w:rsidRPr="00044023" w14:paraId="740F0686" w14:textId="77777777" w:rsidTr="00044023">
        <w:trPr>
          <w:trHeight w:val="68"/>
        </w:trPr>
        <w:tc>
          <w:tcPr>
            <w:tcW w:w="960" w:type="dxa"/>
            <w:tcBorders>
              <w:top w:val="nil"/>
              <w:left w:val="nil"/>
              <w:bottom w:val="nil"/>
              <w:right w:val="nil"/>
            </w:tcBorders>
            <w:shd w:val="clear" w:color="auto" w:fill="auto"/>
            <w:noWrap/>
            <w:vAlign w:val="bottom"/>
            <w:hideMark/>
          </w:tcPr>
          <w:p w14:paraId="7F31ED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1978</w:t>
            </w:r>
          </w:p>
        </w:tc>
        <w:tc>
          <w:tcPr>
            <w:tcW w:w="724" w:type="dxa"/>
            <w:tcBorders>
              <w:top w:val="nil"/>
              <w:left w:val="single" w:sz="4" w:space="0" w:color="auto"/>
              <w:bottom w:val="nil"/>
              <w:right w:val="nil"/>
            </w:tcBorders>
            <w:shd w:val="clear" w:color="auto" w:fill="auto"/>
            <w:noWrap/>
            <w:vAlign w:val="bottom"/>
            <w:hideMark/>
          </w:tcPr>
          <w:p w14:paraId="3980238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44</w:t>
            </w:r>
          </w:p>
        </w:tc>
        <w:tc>
          <w:tcPr>
            <w:tcW w:w="724" w:type="dxa"/>
            <w:tcBorders>
              <w:top w:val="nil"/>
              <w:left w:val="nil"/>
              <w:bottom w:val="nil"/>
              <w:right w:val="nil"/>
            </w:tcBorders>
            <w:shd w:val="clear" w:color="auto" w:fill="auto"/>
            <w:noWrap/>
            <w:vAlign w:val="bottom"/>
            <w:hideMark/>
          </w:tcPr>
          <w:p w14:paraId="03DF30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34</w:t>
            </w:r>
          </w:p>
        </w:tc>
        <w:tc>
          <w:tcPr>
            <w:tcW w:w="723" w:type="dxa"/>
            <w:tcBorders>
              <w:top w:val="nil"/>
              <w:left w:val="nil"/>
              <w:bottom w:val="nil"/>
              <w:right w:val="nil"/>
            </w:tcBorders>
            <w:shd w:val="clear" w:color="auto" w:fill="auto"/>
            <w:noWrap/>
            <w:vAlign w:val="bottom"/>
            <w:hideMark/>
          </w:tcPr>
          <w:p w14:paraId="245F3A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745341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3" w:type="dxa"/>
            <w:tcBorders>
              <w:top w:val="nil"/>
              <w:left w:val="nil"/>
              <w:bottom w:val="nil"/>
              <w:right w:val="nil"/>
            </w:tcBorders>
            <w:shd w:val="clear" w:color="auto" w:fill="auto"/>
            <w:noWrap/>
            <w:vAlign w:val="bottom"/>
            <w:hideMark/>
          </w:tcPr>
          <w:p w14:paraId="390A43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single" w:sz="4" w:space="0" w:color="auto"/>
            </w:tcBorders>
            <w:shd w:val="clear" w:color="auto" w:fill="auto"/>
            <w:noWrap/>
            <w:vAlign w:val="bottom"/>
            <w:hideMark/>
          </w:tcPr>
          <w:p w14:paraId="59C43A8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680" w:type="dxa"/>
            <w:tcBorders>
              <w:top w:val="nil"/>
              <w:left w:val="nil"/>
              <w:bottom w:val="nil"/>
              <w:right w:val="nil"/>
            </w:tcBorders>
            <w:shd w:val="clear" w:color="auto" w:fill="auto"/>
            <w:noWrap/>
            <w:vAlign w:val="bottom"/>
            <w:hideMark/>
          </w:tcPr>
          <w:p w14:paraId="58066C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146</w:t>
            </w:r>
          </w:p>
        </w:tc>
        <w:tc>
          <w:tcPr>
            <w:tcW w:w="1340" w:type="dxa"/>
            <w:tcBorders>
              <w:top w:val="nil"/>
              <w:left w:val="nil"/>
              <w:bottom w:val="nil"/>
              <w:right w:val="nil"/>
            </w:tcBorders>
            <w:shd w:val="clear" w:color="auto" w:fill="auto"/>
            <w:noWrap/>
            <w:vAlign w:val="bottom"/>
            <w:hideMark/>
          </w:tcPr>
          <w:p w14:paraId="0982A56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1552</w:t>
            </w:r>
          </w:p>
        </w:tc>
      </w:tr>
      <w:tr w:rsidR="00044023" w:rsidRPr="00044023" w14:paraId="34F53E67" w14:textId="77777777" w:rsidTr="00044023">
        <w:trPr>
          <w:trHeight w:val="68"/>
        </w:trPr>
        <w:tc>
          <w:tcPr>
            <w:tcW w:w="960" w:type="dxa"/>
            <w:tcBorders>
              <w:top w:val="nil"/>
              <w:left w:val="nil"/>
              <w:bottom w:val="nil"/>
              <w:right w:val="nil"/>
            </w:tcBorders>
            <w:shd w:val="clear" w:color="auto" w:fill="auto"/>
            <w:noWrap/>
            <w:vAlign w:val="bottom"/>
            <w:hideMark/>
          </w:tcPr>
          <w:p w14:paraId="7F7A3A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1979</w:t>
            </w:r>
          </w:p>
        </w:tc>
        <w:tc>
          <w:tcPr>
            <w:tcW w:w="724" w:type="dxa"/>
            <w:tcBorders>
              <w:top w:val="nil"/>
              <w:left w:val="single" w:sz="4" w:space="0" w:color="auto"/>
              <w:bottom w:val="nil"/>
              <w:right w:val="nil"/>
            </w:tcBorders>
            <w:shd w:val="clear" w:color="auto" w:fill="auto"/>
            <w:noWrap/>
            <w:vAlign w:val="bottom"/>
            <w:hideMark/>
          </w:tcPr>
          <w:p w14:paraId="0F2E37D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724" w:type="dxa"/>
            <w:tcBorders>
              <w:top w:val="nil"/>
              <w:left w:val="nil"/>
              <w:bottom w:val="nil"/>
              <w:right w:val="nil"/>
            </w:tcBorders>
            <w:shd w:val="clear" w:color="auto" w:fill="auto"/>
            <w:noWrap/>
            <w:vAlign w:val="bottom"/>
            <w:hideMark/>
          </w:tcPr>
          <w:p w14:paraId="7B201E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30</w:t>
            </w:r>
          </w:p>
        </w:tc>
        <w:tc>
          <w:tcPr>
            <w:tcW w:w="723" w:type="dxa"/>
            <w:tcBorders>
              <w:top w:val="nil"/>
              <w:left w:val="nil"/>
              <w:bottom w:val="nil"/>
              <w:right w:val="nil"/>
            </w:tcBorders>
            <w:shd w:val="clear" w:color="auto" w:fill="auto"/>
            <w:noWrap/>
            <w:vAlign w:val="bottom"/>
            <w:hideMark/>
          </w:tcPr>
          <w:p w14:paraId="1A2E8D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705B5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011485A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single" w:sz="4" w:space="0" w:color="auto"/>
            </w:tcBorders>
            <w:shd w:val="clear" w:color="auto" w:fill="auto"/>
            <w:noWrap/>
            <w:vAlign w:val="bottom"/>
            <w:hideMark/>
          </w:tcPr>
          <w:p w14:paraId="0B580D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680" w:type="dxa"/>
            <w:tcBorders>
              <w:top w:val="nil"/>
              <w:left w:val="nil"/>
              <w:bottom w:val="nil"/>
              <w:right w:val="nil"/>
            </w:tcBorders>
            <w:shd w:val="clear" w:color="auto" w:fill="auto"/>
            <w:noWrap/>
            <w:vAlign w:val="bottom"/>
            <w:hideMark/>
          </w:tcPr>
          <w:p w14:paraId="4C1217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130</w:t>
            </w:r>
          </w:p>
        </w:tc>
        <w:tc>
          <w:tcPr>
            <w:tcW w:w="1340" w:type="dxa"/>
            <w:tcBorders>
              <w:top w:val="nil"/>
              <w:left w:val="nil"/>
              <w:bottom w:val="nil"/>
              <w:right w:val="nil"/>
            </w:tcBorders>
            <w:shd w:val="clear" w:color="auto" w:fill="auto"/>
            <w:noWrap/>
            <w:vAlign w:val="bottom"/>
            <w:hideMark/>
          </w:tcPr>
          <w:p w14:paraId="6D24B9B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1682</w:t>
            </w:r>
          </w:p>
        </w:tc>
      </w:tr>
      <w:tr w:rsidR="00044023" w:rsidRPr="00044023" w14:paraId="405044D5" w14:textId="77777777" w:rsidTr="00044023">
        <w:trPr>
          <w:trHeight w:val="68"/>
        </w:trPr>
        <w:tc>
          <w:tcPr>
            <w:tcW w:w="960" w:type="dxa"/>
            <w:tcBorders>
              <w:top w:val="nil"/>
              <w:left w:val="nil"/>
              <w:bottom w:val="nil"/>
              <w:right w:val="nil"/>
            </w:tcBorders>
            <w:shd w:val="clear" w:color="auto" w:fill="auto"/>
            <w:noWrap/>
            <w:vAlign w:val="bottom"/>
            <w:hideMark/>
          </w:tcPr>
          <w:p w14:paraId="3F67D3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1980</w:t>
            </w:r>
          </w:p>
        </w:tc>
        <w:tc>
          <w:tcPr>
            <w:tcW w:w="724" w:type="dxa"/>
            <w:tcBorders>
              <w:top w:val="nil"/>
              <w:left w:val="single" w:sz="4" w:space="0" w:color="auto"/>
              <w:bottom w:val="nil"/>
              <w:right w:val="nil"/>
            </w:tcBorders>
            <w:shd w:val="clear" w:color="auto" w:fill="auto"/>
            <w:noWrap/>
            <w:vAlign w:val="bottom"/>
            <w:hideMark/>
          </w:tcPr>
          <w:p w14:paraId="0D3360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724" w:type="dxa"/>
            <w:tcBorders>
              <w:top w:val="nil"/>
              <w:left w:val="nil"/>
              <w:bottom w:val="nil"/>
              <w:right w:val="nil"/>
            </w:tcBorders>
            <w:shd w:val="clear" w:color="auto" w:fill="auto"/>
            <w:noWrap/>
            <w:vAlign w:val="bottom"/>
            <w:hideMark/>
          </w:tcPr>
          <w:p w14:paraId="0718D32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w:t>
            </w:r>
          </w:p>
        </w:tc>
        <w:tc>
          <w:tcPr>
            <w:tcW w:w="723" w:type="dxa"/>
            <w:tcBorders>
              <w:top w:val="nil"/>
              <w:left w:val="nil"/>
              <w:bottom w:val="nil"/>
              <w:right w:val="nil"/>
            </w:tcBorders>
            <w:shd w:val="clear" w:color="auto" w:fill="auto"/>
            <w:noWrap/>
            <w:vAlign w:val="bottom"/>
            <w:hideMark/>
          </w:tcPr>
          <w:p w14:paraId="5E68A4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F6A8BB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657EFB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single" w:sz="4" w:space="0" w:color="auto"/>
            </w:tcBorders>
            <w:shd w:val="clear" w:color="auto" w:fill="auto"/>
            <w:noWrap/>
            <w:vAlign w:val="bottom"/>
            <w:hideMark/>
          </w:tcPr>
          <w:p w14:paraId="5382EF1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680" w:type="dxa"/>
            <w:tcBorders>
              <w:top w:val="nil"/>
              <w:left w:val="nil"/>
              <w:bottom w:val="nil"/>
              <w:right w:val="nil"/>
            </w:tcBorders>
            <w:shd w:val="clear" w:color="auto" w:fill="auto"/>
            <w:noWrap/>
            <w:vAlign w:val="bottom"/>
            <w:hideMark/>
          </w:tcPr>
          <w:p w14:paraId="611BD2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116</w:t>
            </w:r>
          </w:p>
        </w:tc>
        <w:tc>
          <w:tcPr>
            <w:tcW w:w="1340" w:type="dxa"/>
            <w:tcBorders>
              <w:top w:val="nil"/>
              <w:left w:val="nil"/>
              <w:bottom w:val="nil"/>
              <w:right w:val="nil"/>
            </w:tcBorders>
            <w:shd w:val="clear" w:color="auto" w:fill="auto"/>
            <w:noWrap/>
            <w:vAlign w:val="bottom"/>
            <w:hideMark/>
          </w:tcPr>
          <w:p w14:paraId="03787C9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1798</w:t>
            </w:r>
          </w:p>
        </w:tc>
      </w:tr>
      <w:tr w:rsidR="00044023" w:rsidRPr="00044023" w14:paraId="4BE6E372" w14:textId="77777777" w:rsidTr="00044023">
        <w:trPr>
          <w:trHeight w:val="68"/>
        </w:trPr>
        <w:tc>
          <w:tcPr>
            <w:tcW w:w="960" w:type="dxa"/>
            <w:tcBorders>
              <w:top w:val="nil"/>
              <w:left w:val="nil"/>
              <w:bottom w:val="nil"/>
              <w:right w:val="nil"/>
            </w:tcBorders>
            <w:shd w:val="clear" w:color="auto" w:fill="auto"/>
            <w:noWrap/>
            <w:vAlign w:val="bottom"/>
            <w:hideMark/>
          </w:tcPr>
          <w:p w14:paraId="626D7E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1981</w:t>
            </w:r>
          </w:p>
        </w:tc>
        <w:tc>
          <w:tcPr>
            <w:tcW w:w="724" w:type="dxa"/>
            <w:tcBorders>
              <w:top w:val="nil"/>
              <w:left w:val="single" w:sz="4" w:space="0" w:color="auto"/>
              <w:bottom w:val="nil"/>
              <w:right w:val="nil"/>
            </w:tcBorders>
            <w:shd w:val="clear" w:color="auto" w:fill="auto"/>
            <w:noWrap/>
            <w:vAlign w:val="bottom"/>
            <w:hideMark/>
          </w:tcPr>
          <w:p w14:paraId="1D8822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32</w:t>
            </w:r>
          </w:p>
        </w:tc>
        <w:tc>
          <w:tcPr>
            <w:tcW w:w="724" w:type="dxa"/>
            <w:tcBorders>
              <w:top w:val="nil"/>
              <w:left w:val="nil"/>
              <w:bottom w:val="nil"/>
              <w:right w:val="nil"/>
            </w:tcBorders>
            <w:shd w:val="clear" w:color="auto" w:fill="auto"/>
            <w:noWrap/>
            <w:vAlign w:val="bottom"/>
            <w:hideMark/>
          </w:tcPr>
          <w:p w14:paraId="0AA98AD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w:t>
            </w:r>
          </w:p>
        </w:tc>
        <w:tc>
          <w:tcPr>
            <w:tcW w:w="723" w:type="dxa"/>
            <w:tcBorders>
              <w:top w:val="nil"/>
              <w:left w:val="nil"/>
              <w:bottom w:val="nil"/>
              <w:right w:val="nil"/>
            </w:tcBorders>
            <w:shd w:val="clear" w:color="auto" w:fill="auto"/>
            <w:noWrap/>
            <w:vAlign w:val="bottom"/>
            <w:hideMark/>
          </w:tcPr>
          <w:p w14:paraId="254066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723" w:type="dxa"/>
            <w:tcBorders>
              <w:top w:val="nil"/>
              <w:left w:val="nil"/>
              <w:bottom w:val="nil"/>
              <w:right w:val="nil"/>
            </w:tcBorders>
            <w:shd w:val="clear" w:color="auto" w:fill="auto"/>
            <w:noWrap/>
            <w:vAlign w:val="bottom"/>
            <w:hideMark/>
          </w:tcPr>
          <w:p w14:paraId="32AFA5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75B07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single" w:sz="4" w:space="0" w:color="auto"/>
            </w:tcBorders>
            <w:shd w:val="clear" w:color="auto" w:fill="auto"/>
            <w:noWrap/>
            <w:vAlign w:val="bottom"/>
            <w:hideMark/>
          </w:tcPr>
          <w:p w14:paraId="1A49689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680" w:type="dxa"/>
            <w:tcBorders>
              <w:top w:val="nil"/>
              <w:left w:val="nil"/>
              <w:bottom w:val="nil"/>
              <w:right w:val="nil"/>
            </w:tcBorders>
            <w:shd w:val="clear" w:color="auto" w:fill="auto"/>
            <w:noWrap/>
            <w:vAlign w:val="bottom"/>
            <w:hideMark/>
          </w:tcPr>
          <w:p w14:paraId="0D3EA2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104</w:t>
            </w:r>
          </w:p>
        </w:tc>
        <w:tc>
          <w:tcPr>
            <w:tcW w:w="1340" w:type="dxa"/>
            <w:tcBorders>
              <w:top w:val="nil"/>
              <w:left w:val="nil"/>
              <w:bottom w:val="nil"/>
              <w:right w:val="nil"/>
            </w:tcBorders>
            <w:shd w:val="clear" w:color="auto" w:fill="auto"/>
            <w:noWrap/>
            <w:vAlign w:val="bottom"/>
            <w:hideMark/>
          </w:tcPr>
          <w:p w14:paraId="36DCB3B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1902</w:t>
            </w:r>
          </w:p>
        </w:tc>
      </w:tr>
      <w:tr w:rsidR="00044023" w:rsidRPr="00044023" w14:paraId="35325189" w14:textId="77777777" w:rsidTr="00044023">
        <w:trPr>
          <w:trHeight w:val="68"/>
        </w:trPr>
        <w:tc>
          <w:tcPr>
            <w:tcW w:w="960" w:type="dxa"/>
            <w:tcBorders>
              <w:top w:val="nil"/>
              <w:left w:val="nil"/>
              <w:bottom w:val="nil"/>
              <w:right w:val="nil"/>
            </w:tcBorders>
            <w:shd w:val="clear" w:color="auto" w:fill="auto"/>
            <w:noWrap/>
            <w:vAlign w:val="bottom"/>
            <w:hideMark/>
          </w:tcPr>
          <w:p w14:paraId="73B06B3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1982</w:t>
            </w:r>
          </w:p>
        </w:tc>
        <w:tc>
          <w:tcPr>
            <w:tcW w:w="724" w:type="dxa"/>
            <w:tcBorders>
              <w:top w:val="nil"/>
              <w:left w:val="single" w:sz="4" w:space="0" w:color="auto"/>
              <w:bottom w:val="nil"/>
              <w:right w:val="nil"/>
            </w:tcBorders>
            <w:shd w:val="clear" w:color="auto" w:fill="auto"/>
            <w:noWrap/>
            <w:vAlign w:val="bottom"/>
            <w:hideMark/>
          </w:tcPr>
          <w:p w14:paraId="520D54C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724" w:type="dxa"/>
            <w:tcBorders>
              <w:top w:val="nil"/>
              <w:left w:val="nil"/>
              <w:bottom w:val="nil"/>
              <w:right w:val="nil"/>
            </w:tcBorders>
            <w:shd w:val="clear" w:color="auto" w:fill="auto"/>
            <w:noWrap/>
            <w:vAlign w:val="bottom"/>
            <w:hideMark/>
          </w:tcPr>
          <w:p w14:paraId="64791FB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3" w:type="dxa"/>
            <w:tcBorders>
              <w:top w:val="nil"/>
              <w:left w:val="nil"/>
              <w:bottom w:val="nil"/>
              <w:right w:val="nil"/>
            </w:tcBorders>
            <w:shd w:val="clear" w:color="auto" w:fill="auto"/>
            <w:noWrap/>
            <w:vAlign w:val="bottom"/>
            <w:hideMark/>
          </w:tcPr>
          <w:p w14:paraId="15C1B0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429377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E4D9B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72405E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680" w:type="dxa"/>
            <w:tcBorders>
              <w:top w:val="nil"/>
              <w:left w:val="nil"/>
              <w:bottom w:val="nil"/>
              <w:right w:val="nil"/>
            </w:tcBorders>
            <w:shd w:val="clear" w:color="auto" w:fill="auto"/>
            <w:noWrap/>
            <w:vAlign w:val="bottom"/>
            <w:hideMark/>
          </w:tcPr>
          <w:p w14:paraId="2A8134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93</w:t>
            </w:r>
          </w:p>
        </w:tc>
        <w:tc>
          <w:tcPr>
            <w:tcW w:w="1340" w:type="dxa"/>
            <w:tcBorders>
              <w:top w:val="nil"/>
              <w:left w:val="nil"/>
              <w:bottom w:val="nil"/>
              <w:right w:val="nil"/>
            </w:tcBorders>
            <w:shd w:val="clear" w:color="auto" w:fill="auto"/>
            <w:noWrap/>
            <w:vAlign w:val="bottom"/>
            <w:hideMark/>
          </w:tcPr>
          <w:p w14:paraId="39CE2A1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r>
      <w:tr w:rsidR="00044023" w:rsidRPr="00044023" w14:paraId="178785D3" w14:textId="77777777" w:rsidTr="00044023">
        <w:trPr>
          <w:trHeight w:val="68"/>
        </w:trPr>
        <w:tc>
          <w:tcPr>
            <w:tcW w:w="960" w:type="dxa"/>
            <w:tcBorders>
              <w:top w:val="nil"/>
              <w:left w:val="nil"/>
              <w:bottom w:val="nil"/>
              <w:right w:val="nil"/>
            </w:tcBorders>
            <w:shd w:val="clear" w:color="auto" w:fill="auto"/>
            <w:noWrap/>
            <w:vAlign w:val="bottom"/>
            <w:hideMark/>
          </w:tcPr>
          <w:p w14:paraId="666EB4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1983</w:t>
            </w:r>
          </w:p>
        </w:tc>
        <w:tc>
          <w:tcPr>
            <w:tcW w:w="724" w:type="dxa"/>
            <w:tcBorders>
              <w:top w:val="nil"/>
              <w:left w:val="single" w:sz="4" w:space="0" w:color="auto"/>
              <w:bottom w:val="nil"/>
              <w:right w:val="nil"/>
            </w:tcBorders>
            <w:shd w:val="clear" w:color="auto" w:fill="auto"/>
            <w:noWrap/>
            <w:vAlign w:val="bottom"/>
            <w:hideMark/>
          </w:tcPr>
          <w:p w14:paraId="401675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724" w:type="dxa"/>
            <w:tcBorders>
              <w:top w:val="nil"/>
              <w:left w:val="nil"/>
              <w:bottom w:val="nil"/>
              <w:right w:val="nil"/>
            </w:tcBorders>
            <w:shd w:val="clear" w:color="auto" w:fill="auto"/>
            <w:noWrap/>
            <w:vAlign w:val="bottom"/>
            <w:hideMark/>
          </w:tcPr>
          <w:p w14:paraId="3896D3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3" w:type="dxa"/>
            <w:tcBorders>
              <w:top w:val="nil"/>
              <w:left w:val="nil"/>
              <w:bottom w:val="nil"/>
              <w:right w:val="nil"/>
            </w:tcBorders>
            <w:shd w:val="clear" w:color="auto" w:fill="auto"/>
            <w:noWrap/>
            <w:vAlign w:val="bottom"/>
            <w:hideMark/>
          </w:tcPr>
          <w:p w14:paraId="0D30BE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3" w:type="dxa"/>
            <w:tcBorders>
              <w:top w:val="nil"/>
              <w:left w:val="nil"/>
              <w:bottom w:val="nil"/>
              <w:right w:val="nil"/>
            </w:tcBorders>
            <w:shd w:val="clear" w:color="auto" w:fill="auto"/>
            <w:noWrap/>
            <w:vAlign w:val="bottom"/>
            <w:hideMark/>
          </w:tcPr>
          <w:p w14:paraId="2208AA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417D5D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single" w:sz="4" w:space="0" w:color="auto"/>
            </w:tcBorders>
            <w:shd w:val="clear" w:color="auto" w:fill="auto"/>
            <w:noWrap/>
            <w:vAlign w:val="bottom"/>
            <w:hideMark/>
          </w:tcPr>
          <w:p w14:paraId="018440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680" w:type="dxa"/>
            <w:tcBorders>
              <w:top w:val="nil"/>
              <w:left w:val="nil"/>
              <w:bottom w:val="nil"/>
              <w:right w:val="nil"/>
            </w:tcBorders>
            <w:shd w:val="clear" w:color="auto" w:fill="auto"/>
            <w:noWrap/>
            <w:vAlign w:val="bottom"/>
            <w:hideMark/>
          </w:tcPr>
          <w:p w14:paraId="49998CC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84</w:t>
            </w:r>
          </w:p>
        </w:tc>
        <w:tc>
          <w:tcPr>
            <w:tcW w:w="1340" w:type="dxa"/>
            <w:tcBorders>
              <w:top w:val="nil"/>
              <w:left w:val="nil"/>
              <w:bottom w:val="nil"/>
              <w:right w:val="nil"/>
            </w:tcBorders>
            <w:shd w:val="clear" w:color="auto" w:fill="auto"/>
            <w:noWrap/>
            <w:vAlign w:val="bottom"/>
            <w:hideMark/>
          </w:tcPr>
          <w:p w14:paraId="22BBBE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2079</w:t>
            </w:r>
          </w:p>
        </w:tc>
      </w:tr>
      <w:tr w:rsidR="00044023" w:rsidRPr="00044023" w14:paraId="5E424854" w14:textId="77777777" w:rsidTr="00044023">
        <w:trPr>
          <w:trHeight w:val="68"/>
        </w:trPr>
        <w:tc>
          <w:tcPr>
            <w:tcW w:w="960" w:type="dxa"/>
            <w:tcBorders>
              <w:top w:val="nil"/>
              <w:left w:val="nil"/>
              <w:bottom w:val="nil"/>
              <w:right w:val="nil"/>
            </w:tcBorders>
            <w:shd w:val="clear" w:color="auto" w:fill="auto"/>
            <w:noWrap/>
            <w:vAlign w:val="bottom"/>
            <w:hideMark/>
          </w:tcPr>
          <w:p w14:paraId="45259C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1984</w:t>
            </w:r>
          </w:p>
        </w:tc>
        <w:tc>
          <w:tcPr>
            <w:tcW w:w="724" w:type="dxa"/>
            <w:tcBorders>
              <w:top w:val="nil"/>
              <w:left w:val="single" w:sz="4" w:space="0" w:color="auto"/>
              <w:bottom w:val="nil"/>
              <w:right w:val="nil"/>
            </w:tcBorders>
            <w:shd w:val="clear" w:color="auto" w:fill="auto"/>
            <w:noWrap/>
            <w:vAlign w:val="bottom"/>
            <w:hideMark/>
          </w:tcPr>
          <w:p w14:paraId="4F01656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724" w:type="dxa"/>
            <w:tcBorders>
              <w:top w:val="nil"/>
              <w:left w:val="nil"/>
              <w:bottom w:val="nil"/>
              <w:right w:val="nil"/>
            </w:tcBorders>
            <w:shd w:val="clear" w:color="auto" w:fill="auto"/>
            <w:noWrap/>
            <w:vAlign w:val="bottom"/>
            <w:hideMark/>
          </w:tcPr>
          <w:p w14:paraId="039BA9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723" w:type="dxa"/>
            <w:tcBorders>
              <w:top w:val="nil"/>
              <w:left w:val="nil"/>
              <w:bottom w:val="nil"/>
              <w:right w:val="nil"/>
            </w:tcBorders>
            <w:shd w:val="clear" w:color="auto" w:fill="auto"/>
            <w:noWrap/>
            <w:vAlign w:val="bottom"/>
            <w:hideMark/>
          </w:tcPr>
          <w:p w14:paraId="05D032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1F2AF00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D4685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single" w:sz="4" w:space="0" w:color="auto"/>
            </w:tcBorders>
            <w:shd w:val="clear" w:color="auto" w:fill="auto"/>
            <w:noWrap/>
            <w:vAlign w:val="bottom"/>
            <w:hideMark/>
          </w:tcPr>
          <w:p w14:paraId="257579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680" w:type="dxa"/>
            <w:tcBorders>
              <w:top w:val="nil"/>
              <w:left w:val="nil"/>
              <w:bottom w:val="nil"/>
              <w:right w:val="nil"/>
            </w:tcBorders>
            <w:shd w:val="clear" w:color="auto" w:fill="auto"/>
            <w:noWrap/>
            <w:vAlign w:val="bottom"/>
            <w:hideMark/>
          </w:tcPr>
          <w:p w14:paraId="26C8AD7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75</w:t>
            </w:r>
          </w:p>
        </w:tc>
        <w:tc>
          <w:tcPr>
            <w:tcW w:w="1340" w:type="dxa"/>
            <w:tcBorders>
              <w:top w:val="nil"/>
              <w:left w:val="nil"/>
              <w:bottom w:val="nil"/>
              <w:right w:val="nil"/>
            </w:tcBorders>
            <w:shd w:val="clear" w:color="auto" w:fill="auto"/>
            <w:noWrap/>
            <w:vAlign w:val="bottom"/>
            <w:hideMark/>
          </w:tcPr>
          <w:p w14:paraId="7BB4B2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2154</w:t>
            </w:r>
          </w:p>
        </w:tc>
      </w:tr>
      <w:tr w:rsidR="00044023" w:rsidRPr="00044023" w14:paraId="767FAE61" w14:textId="77777777" w:rsidTr="00044023">
        <w:trPr>
          <w:trHeight w:val="68"/>
        </w:trPr>
        <w:tc>
          <w:tcPr>
            <w:tcW w:w="960" w:type="dxa"/>
            <w:tcBorders>
              <w:top w:val="nil"/>
              <w:left w:val="nil"/>
              <w:bottom w:val="nil"/>
              <w:right w:val="nil"/>
            </w:tcBorders>
            <w:shd w:val="clear" w:color="auto" w:fill="auto"/>
            <w:noWrap/>
            <w:vAlign w:val="bottom"/>
            <w:hideMark/>
          </w:tcPr>
          <w:p w14:paraId="2FDDAA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1985</w:t>
            </w:r>
          </w:p>
        </w:tc>
        <w:tc>
          <w:tcPr>
            <w:tcW w:w="724" w:type="dxa"/>
            <w:tcBorders>
              <w:top w:val="nil"/>
              <w:left w:val="single" w:sz="4" w:space="0" w:color="auto"/>
              <w:bottom w:val="nil"/>
              <w:right w:val="nil"/>
            </w:tcBorders>
            <w:shd w:val="clear" w:color="auto" w:fill="auto"/>
            <w:noWrap/>
            <w:vAlign w:val="bottom"/>
            <w:hideMark/>
          </w:tcPr>
          <w:p w14:paraId="65F38C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724" w:type="dxa"/>
            <w:tcBorders>
              <w:top w:val="nil"/>
              <w:left w:val="nil"/>
              <w:bottom w:val="nil"/>
              <w:right w:val="nil"/>
            </w:tcBorders>
            <w:shd w:val="clear" w:color="auto" w:fill="auto"/>
            <w:noWrap/>
            <w:vAlign w:val="bottom"/>
            <w:hideMark/>
          </w:tcPr>
          <w:p w14:paraId="4B67F03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723" w:type="dxa"/>
            <w:tcBorders>
              <w:top w:val="nil"/>
              <w:left w:val="nil"/>
              <w:bottom w:val="nil"/>
              <w:right w:val="nil"/>
            </w:tcBorders>
            <w:shd w:val="clear" w:color="auto" w:fill="auto"/>
            <w:noWrap/>
            <w:vAlign w:val="bottom"/>
            <w:hideMark/>
          </w:tcPr>
          <w:p w14:paraId="6D76FF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093AF1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54FA62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4BA4DF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0F17B0B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67</w:t>
            </w:r>
          </w:p>
        </w:tc>
        <w:tc>
          <w:tcPr>
            <w:tcW w:w="1340" w:type="dxa"/>
            <w:tcBorders>
              <w:top w:val="nil"/>
              <w:left w:val="nil"/>
              <w:bottom w:val="nil"/>
              <w:right w:val="nil"/>
            </w:tcBorders>
            <w:shd w:val="clear" w:color="auto" w:fill="auto"/>
            <w:noWrap/>
            <w:vAlign w:val="bottom"/>
            <w:hideMark/>
          </w:tcPr>
          <w:p w14:paraId="1AE24BB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2221</w:t>
            </w:r>
          </w:p>
        </w:tc>
      </w:tr>
      <w:tr w:rsidR="00044023" w:rsidRPr="00044023" w14:paraId="4061D628" w14:textId="77777777" w:rsidTr="00044023">
        <w:trPr>
          <w:trHeight w:val="68"/>
        </w:trPr>
        <w:tc>
          <w:tcPr>
            <w:tcW w:w="960" w:type="dxa"/>
            <w:tcBorders>
              <w:top w:val="nil"/>
              <w:left w:val="nil"/>
              <w:bottom w:val="nil"/>
              <w:right w:val="nil"/>
            </w:tcBorders>
            <w:shd w:val="clear" w:color="auto" w:fill="auto"/>
            <w:noWrap/>
            <w:vAlign w:val="bottom"/>
            <w:hideMark/>
          </w:tcPr>
          <w:p w14:paraId="1B51A59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1986</w:t>
            </w:r>
          </w:p>
        </w:tc>
        <w:tc>
          <w:tcPr>
            <w:tcW w:w="724" w:type="dxa"/>
            <w:tcBorders>
              <w:top w:val="nil"/>
              <w:left w:val="single" w:sz="4" w:space="0" w:color="auto"/>
              <w:bottom w:val="nil"/>
              <w:right w:val="nil"/>
            </w:tcBorders>
            <w:shd w:val="clear" w:color="auto" w:fill="auto"/>
            <w:noWrap/>
            <w:vAlign w:val="bottom"/>
            <w:hideMark/>
          </w:tcPr>
          <w:p w14:paraId="264A707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17</w:t>
            </w:r>
          </w:p>
        </w:tc>
        <w:tc>
          <w:tcPr>
            <w:tcW w:w="724" w:type="dxa"/>
            <w:tcBorders>
              <w:top w:val="nil"/>
              <w:left w:val="nil"/>
              <w:bottom w:val="nil"/>
              <w:right w:val="nil"/>
            </w:tcBorders>
            <w:shd w:val="clear" w:color="auto" w:fill="auto"/>
            <w:noWrap/>
            <w:vAlign w:val="bottom"/>
            <w:hideMark/>
          </w:tcPr>
          <w:p w14:paraId="10CA55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3" w:type="dxa"/>
            <w:tcBorders>
              <w:top w:val="nil"/>
              <w:left w:val="nil"/>
              <w:bottom w:val="nil"/>
              <w:right w:val="nil"/>
            </w:tcBorders>
            <w:shd w:val="clear" w:color="auto" w:fill="auto"/>
            <w:noWrap/>
            <w:vAlign w:val="bottom"/>
            <w:hideMark/>
          </w:tcPr>
          <w:p w14:paraId="3D2DFEA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288E73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7BE0B0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single" w:sz="4" w:space="0" w:color="auto"/>
            </w:tcBorders>
            <w:shd w:val="clear" w:color="auto" w:fill="auto"/>
            <w:noWrap/>
            <w:vAlign w:val="bottom"/>
            <w:hideMark/>
          </w:tcPr>
          <w:p w14:paraId="75E51AC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680" w:type="dxa"/>
            <w:tcBorders>
              <w:top w:val="nil"/>
              <w:left w:val="nil"/>
              <w:bottom w:val="nil"/>
              <w:right w:val="nil"/>
            </w:tcBorders>
            <w:shd w:val="clear" w:color="auto" w:fill="auto"/>
            <w:noWrap/>
            <w:vAlign w:val="bottom"/>
            <w:hideMark/>
          </w:tcPr>
          <w:p w14:paraId="714236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61</w:t>
            </w:r>
          </w:p>
        </w:tc>
        <w:tc>
          <w:tcPr>
            <w:tcW w:w="1340" w:type="dxa"/>
            <w:tcBorders>
              <w:top w:val="nil"/>
              <w:left w:val="nil"/>
              <w:bottom w:val="nil"/>
              <w:right w:val="nil"/>
            </w:tcBorders>
            <w:shd w:val="clear" w:color="auto" w:fill="auto"/>
            <w:noWrap/>
            <w:vAlign w:val="bottom"/>
            <w:hideMark/>
          </w:tcPr>
          <w:p w14:paraId="1437EBE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2282</w:t>
            </w:r>
          </w:p>
        </w:tc>
      </w:tr>
      <w:tr w:rsidR="00044023" w:rsidRPr="00044023" w14:paraId="1B369E3B" w14:textId="77777777" w:rsidTr="00044023">
        <w:trPr>
          <w:trHeight w:val="68"/>
        </w:trPr>
        <w:tc>
          <w:tcPr>
            <w:tcW w:w="960" w:type="dxa"/>
            <w:tcBorders>
              <w:top w:val="nil"/>
              <w:left w:val="nil"/>
              <w:bottom w:val="nil"/>
              <w:right w:val="nil"/>
            </w:tcBorders>
            <w:shd w:val="clear" w:color="auto" w:fill="auto"/>
            <w:noWrap/>
            <w:vAlign w:val="bottom"/>
            <w:hideMark/>
          </w:tcPr>
          <w:p w14:paraId="0461A3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1987</w:t>
            </w:r>
          </w:p>
        </w:tc>
        <w:tc>
          <w:tcPr>
            <w:tcW w:w="724" w:type="dxa"/>
            <w:tcBorders>
              <w:top w:val="nil"/>
              <w:left w:val="single" w:sz="4" w:space="0" w:color="auto"/>
              <w:bottom w:val="nil"/>
              <w:right w:val="nil"/>
            </w:tcBorders>
            <w:shd w:val="clear" w:color="auto" w:fill="auto"/>
            <w:noWrap/>
            <w:vAlign w:val="bottom"/>
            <w:hideMark/>
          </w:tcPr>
          <w:p w14:paraId="30BE161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15</w:t>
            </w:r>
          </w:p>
        </w:tc>
        <w:tc>
          <w:tcPr>
            <w:tcW w:w="724" w:type="dxa"/>
            <w:tcBorders>
              <w:top w:val="nil"/>
              <w:left w:val="nil"/>
              <w:bottom w:val="nil"/>
              <w:right w:val="nil"/>
            </w:tcBorders>
            <w:shd w:val="clear" w:color="auto" w:fill="auto"/>
            <w:noWrap/>
            <w:vAlign w:val="bottom"/>
            <w:hideMark/>
          </w:tcPr>
          <w:p w14:paraId="07617B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3" w:type="dxa"/>
            <w:tcBorders>
              <w:top w:val="nil"/>
              <w:left w:val="nil"/>
              <w:bottom w:val="nil"/>
              <w:right w:val="nil"/>
            </w:tcBorders>
            <w:shd w:val="clear" w:color="auto" w:fill="auto"/>
            <w:noWrap/>
            <w:vAlign w:val="bottom"/>
            <w:hideMark/>
          </w:tcPr>
          <w:p w14:paraId="41D5F6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485027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6029FF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6DBF41E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680" w:type="dxa"/>
            <w:tcBorders>
              <w:top w:val="nil"/>
              <w:left w:val="nil"/>
              <w:bottom w:val="nil"/>
              <w:right w:val="nil"/>
            </w:tcBorders>
            <w:shd w:val="clear" w:color="auto" w:fill="auto"/>
            <w:noWrap/>
            <w:vAlign w:val="bottom"/>
            <w:hideMark/>
          </w:tcPr>
          <w:p w14:paraId="5D5156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54</w:t>
            </w:r>
          </w:p>
        </w:tc>
        <w:tc>
          <w:tcPr>
            <w:tcW w:w="1340" w:type="dxa"/>
            <w:tcBorders>
              <w:top w:val="nil"/>
              <w:left w:val="nil"/>
              <w:bottom w:val="nil"/>
              <w:right w:val="nil"/>
            </w:tcBorders>
            <w:shd w:val="clear" w:color="auto" w:fill="auto"/>
            <w:noWrap/>
            <w:vAlign w:val="bottom"/>
            <w:hideMark/>
          </w:tcPr>
          <w:p w14:paraId="145EFD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2336</w:t>
            </w:r>
          </w:p>
        </w:tc>
      </w:tr>
      <w:tr w:rsidR="00044023" w:rsidRPr="00044023" w14:paraId="61996797" w14:textId="77777777" w:rsidTr="00044023">
        <w:trPr>
          <w:trHeight w:val="68"/>
        </w:trPr>
        <w:tc>
          <w:tcPr>
            <w:tcW w:w="960" w:type="dxa"/>
            <w:tcBorders>
              <w:top w:val="nil"/>
              <w:left w:val="nil"/>
              <w:bottom w:val="nil"/>
              <w:right w:val="nil"/>
            </w:tcBorders>
            <w:shd w:val="clear" w:color="auto" w:fill="auto"/>
            <w:noWrap/>
            <w:vAlign w:val="bottom"/>
            <w:hideMark/>
          </w:tcPr>
          <w:p w14:paraId="196102B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1988</w:t>
            </w:r>
          </w:p>
        </w:tc>
        <w:tc>
          <w:tcPr>
            <w:tcW w:w="724" w:type="dxa"/>
            <w:tcBorders>
              <w:top w:val="nil"/>
              <w:left w:val="single" w:sz="4" w:space="0" w:color="auto"/>
              <w:bottom w:val="nil"/>
              <w:right w:val="nil"/>
            </w:tcBorders>
            <w:shd w:val="clear" w:color="auto" w:fill="auto"/>
            <w:noWrap/>
            <w:vAlign w:val="bottom"/>
            <w:hideMark/>
          </w:tcPr>
          <w:p w14:paraId="39B30D8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724" w:type="dxa"/>
            <w:tcBorders>
              <w:top w:val="nil"/>
              <w:left w:val="nil"/>
              <w:bottom w:val="nil"/>
              <w:right w:val="nil"/>
            </w:tcBorders>
            <w:shd w:val="clear" w:color="auto" w:fill="auto"/>
            <w:noWrap/>
            <w:vAlign w:val="bottom"/>
            <w:hideMark/>
          </w:tcPr>
          <w:p w14:paraId="251B2AC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12</w:t>
            </w:r>
          </w:p>
        </w:tc>
        <w:tc>
          <w:tcPr>
            <w:tcW w:w="723" w:type="dxa"/>
            <w:tcBorders>
              <w:top w:val="nil"/>
              <w:left w:val="nil"/>
              <w:bottom w:val="nil"/>
              <w:right w:val="nil"/>
            </w:tcBorders>
            <w:shd w:val="clear" w:color="auto" w:fill="auto"/>
            <w:noWrap/>
            <w:vAlign w:val="bottom"/>
            <w:hideMark/>
          </w:tcPr>
          <w:p w14:paraId="1E4588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6C8EF5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43764C7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single" w:sz="4" w:space="0" w:color="auto"/>
            </w:tcBorders>
            <w:shd w:val="clear" w:color="auto" w:fill="auto"/>
            <w:noWrap/>
            <w:vAlign w:val="bottom"/>
            <w:hideMark/>
          </w:tcPr>
          <w:p w14:paraId="2C5F83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680" w:type="dxa"/>
            <w:tcBorders>
              <w:top w:val="nil"/>
              <w:left w:val="nil"/>
              <w:bottom w:val="nil"/>
              <w:right w:val="nil"/>
            </w:tcBorders>
            <w:shd w:val="clear" w:color="auto" w:fill="auto"/>
            <w:noWrap/>
            <w:vAlign w:val="bottom"/>
            <w:hideMark/>
          </w:tcPr>
          <w:p w14:paraId="674E9B3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49</w:t>
            </w:r>
          </w:p>
        </w:tc>
        <w:tc>
          <w:tcPr>
            <w:tcW w:w="1340" w:type="dxa"/>
            <w:tcBorders>
              <w:top w:val="nil"/>
              <w:left w:val="nil"/>
              <w:bottom w:val="nil"/>
              <w:right w:val="nil"/>
            </w:tcBorders>
            <w:shd w:val="clear" w:color="auto" w:fill="auto"/>
            <w:noWrap/>
            <w:vAlign w:val="bottom"/>
            <w:hideMark/>
          </w:tcPr>
          <w:p w14:paraId="4DA582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2385</w:t>
            </w:r>
          </w:p>
        </w:tc>
      </w:tr>
      <w:tr w:rsidR="00044023" w:rsidRPr="00044023" w14:paraId="79623283" w14:textId="77777777" w:rsidTr="00044023">
        <w:trPr>
          <w:trHeight w:val="68"/>
        </w:trPr>
        <w:tc>
          <w:tcPr>
            <w:tcW w:w="960" w:type="dxa"/>
            <w:tcBorders>
              <w:top w:val="nil"/>
              <w:left w:val="nil"/>
              <w:bottom w:val="nil"/>
              <w:right w:val="nil"/>
            </w:tcBorders>
            <w:shd w:val="clear" w:color="auto" w:fill="auto"/>
            <w:noWrap/>
            <w:vAlign w:val="bottom"/>
            <w:hideMark/>
          </w:tcPr>
          <w:p w14:paraId="552804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1989</w:t>
            </w:r>
          </w:p>
        </w:tc>
        <w:tc>
          <w:tcPr>
            <w:tcW w:w="724" w:type="dxa"/>
            <w:tcBorders>
              <w:top w:val="nil"/>
              <w:left w:val="single" w:sz="4" w:space="0" w:color="auto"/>
              <w:bottom w:val="nil"/>
              <w:right w:val="nil"/>
            </w:tcBorders>
            <w:shd w:val="clear" w:color="auto" w:fill="auto"/>
            <w:noWrap/>
            <w:vAlign w:val="bottom"/>
            <w:hideMark/>
          </w:tcPr>
          <w:p w14:paraId="7B4F798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724" w:type="dxa"/>
            <w:tcBorders>
              <w:top w:val="nil"/>
              <w:left w:val="nil"/>
              <w:bottom w:val="nil"/>
              <w:right w:val="nil"/>
            </w:tcBorders>
            <w:shd w:val="clear" w:color="auto" w:fill="auto"/>
            <w:noWrap/>
            <w:vAlign w:val="bottom"/>
            <w:hideMark/>
          </w:tcPr>
          <w:p w14:paraId="32F662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3" w:type="dxa"/>
            <w:tcBorders>
              <w:top w:val="nil"/>
              <w:left w:val="nil"/>
              <w:bottom w:val="nil"/>
              <w:right w:val="nil"/>
            </w:tcBorders>
            <w:shd w:val="clear" w:color="auto" w:fill="auto"/>
            <w:noWrap/>
            <w:vAlign w:val="bottom"/>
            <w:hideMark/>
          </w:tcPr>
          <w:p w14:paraId="31201C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37F24C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656975C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9D7A7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0131CA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43</w:t>
            </w:r>
          </w:p>
        </w:tc>
        <w:tc>
          <w:tcPr>
            <w:tcW w:w="1340" w:type="dxa"/>
            <w:tcBorders>
              <w:top w:val="nil"/>
              <w:left w:val="nil"/>
              <w:bottom w:val="nil"/>
              <w:right w:val="nil"/>
            </w:tcBorders>
            <w:shd w:val="clear" w:color="auto" w:fill="auto"/>
            <w:noWrap/>
            <w:vAlign w:val="bottom"/>
            <w:hideMark/>
          </w:tcPr>
          <w:p w14:paraId="6E2E18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2428</w:t>
            </w:r>
          </w:p>
        </w:tc>
      </w:tr>
      <w:tr w:rsidR="00044023" w:rsidRPr="00044023" w14:paraId="0F97C395" w14:textId="77777777" w:rsidTr="00044023">
        <w:trPr>
          <w:trHeight w:val="68"/>
        </w:trPr>
        <w:tc>
          <w:tcPr>
            <w:tcW w:w="960" w:type="dxa"/>
            <w:tcBorders>
              <w:top w:val="nil"/>
              <w:left w:val="nil"/>
              <w:bottom w:val="nil"/>
              <w:right w:val="nil"/>
            </w:tcBorders>
            <w:shd w:val="clear" w:color="auto" w:fill="auto"/>
            <w:noWrap/>
            <w:vAlign w:val="bottom"/>
            <w:hideMark/>
          </w:tcPr>
          <w:p w14:paraId="4738D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1990</w:t>
            </w:r>
          </w:p>
        </w:tc>
        <w:tc>
          <w:tcPr>
            <w:tcW w:w="724" w:type="dxa"/>
            <w:tcBorders>
              <w:top w:val="nil"/>
              <w:left w:val="single" w:sz="4" w:space="0" w:color="auto"/>
              <w:bottom w:val="nil"/>
              <w:right w:val="nil"/>
            </w:tcBorders>
            <w:shd w:val="clear" w:color="auto" w:fill="auto"/>
            <w:noWrap/>
            <w:vAlign w:val="bottom"/>
            <w:hideMark/>
          </w:tcPr>
          <w:p w14:paraId="69DAB1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724" w:type="dxa"/>
            <w:tcBorders>
              <w:top w:val="nil"/>
              <w:left w:val="nil"/>
              <w:bottom w:val="nil"/>
              <w:right w:val="nil"/>
            </w:tcBorders>
            <w:shd w:val="clear" w:color="auto" w:fill="auto"/>
            <w:noWrap/>
            <w:vAlign w:val="bottom"/>
            <w:hideMark/>
          </w:tcPr>
          <w:p w14:paraId="05E739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3" w:type="dxa"/>
            <w:tcBorders>
              <w:top w:val="nil"/>
              <w:left w:val="nil"/>
              <w:bottom w:val="nil"/>
              <w:right w:val="nil"/>
            </w:tcBorders>
            <w:shd w:val="clear" w:color="auto" w:fill="auto"/>
            <w:noWrap/>
            <w:vAlign w:val="bottom"/>
            <w:hideMark/>
          </w:tcPr>
          <w:p w14:paraId="1288E9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2962A8E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48F5F9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1F76AE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680" w:type="dxa"/>
            <w:tcBorders>
              <w:top w:val="nil"/>
              <w:left w:val="nil"/>
              <w:bottom w:val="nil"/>
              <w:right w:val="nil"/>
            </w:tcBorders>
            <w:shd w:val="clear" w:color="auto" w:fill="auto"/>
            <w:noWrap/>
            <w:vAlign w:val="bottom"/>
            <w:hideMark/>
          </w:tcPr>
          <w:p w14:paraId="2716ADE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w:t>
            </w:r>
          </w:p>
        </w:tc>
        <w:tc>
          <w:tcPr>
            <w:tcW w:w="1340" w:type="dxa"/>
            <w:tcBorders>
              <w:top w:val="nil"/>
              <w:left w:val="nil"/>
              <w:bottom w:val="nil"/>
              <w:right w:val="nil"/>
            </w:tcBorders>
            <w:shd w:val="clear" w:color="auto" w:fill="auto"/>
            <w:noWrap/>
            <w:vAlign w:val="bottom"/>
            <w:hideMark/>
          </w:tcPr>
          <w:p w14:paraId="2C1A7F7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2466</w:t>
            </w:r>
          </w:p>
        </w:tc>
      </w:tr>
      <w:tr w:rsidR="00044023" w:rsidRPr="00044023" w14:paraId="095F30A4" w14:textId="77777777" w:rsidTr="003400A5">
        <w:trPr>
          <w:trHeight w:val="68"/>
        </w:trPr>
        <w:tc>
          <w:tcPr>
            <w:tcW w:w="960" w:type="dxa"/>
            <w:tcBorders>
              <w:top w:val="nil"/>
              <w:left w:val="nil"/>
              <w:bottom w:val="nil"/>
              <w:right w:val="nil"/>
            </w:tcBorders>
            <w:shd w:val="clear" w:color="auto" w:fill="auto"/>
            <w:noWrap/>
            <w:vAlign w:val="bottom"/>
            <w:hideMark/>
          </w:tcPr>
          <w:p w14:paraId="4C36E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1991</w:t>
            </w:r>
          </w:p>
        </w:tc>
        <w:tc>
          <w:tcPr>
            <w:tcW w:w="724" w:type="dxa"/>
            <w:tcBorders>
              <w:top w:val="nil"/>
              <w:left w:val="single" w:sz="4" w:space="0" w:color="auto"/>
              <w:bottom w:val="nil"/>
              <w:right w:val="nil"/>
            </w:tcBorders>
            <w:shd w:val="clear" w:color="auto" w:fill="auto"/>
            <w:noWrap/>
            <w:vAlign w:val="bottom"/>
            <w:hideMark/>
          </w:tcPr>
          <w:p w14:paraId="70658DB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724" w:type="dxa"/>
            <w:tcBorders>
              <w:top w:val="nil"/>
              <w:left w:val="nil"/>
              <w:bottom w:val="nil"/>
              <w:right w:val="nil"/>
            </w:tcBorders>
            <w:shd w:val="clear" w:color="auto" w:fill="auto"/>
            <w:noWrap/>
            <w:vAlign w:val="bottom"/>
            <w:hideMark/>
          </w:tcPr>
          <w:p w14:paraId="02FA69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3" w:type="dxa"/>
            <w:tcBorders>
              <w:top w:val="nil"/>
              <w:left w:val="nil"/>
              <w:bottom w:val="nil"/>
              <w:right w:val="nil"/>
            </w:tcBorders>
            <w:shd w:val="clear" w:color="auto" w:fill="auto"/>
            <w:noWrap/>
            <w:vAlign w:val="bottom"/>
            <w:hideMark/>
          </w:tcPr>
          <w:p w14:paraId="5BC003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7051EB2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1B76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44B932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225A3A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35</w:t>
            </w:r>
          </w:p>
        </w:tc>
        <w:tc>
          <w:tcPr>
            <w:tcW w:w="1340" w:type="dxa"/>
            <w:tcBorders>
              <w:top w:val="nil"/>
              <w:left w:val="nil"/>
              <w:bottom w:val="nil"/>
              <w:right w:val="nil"/>
            </w:tcBorders>
            <w:shd w:val="clear" w:color="auto" w:fill="auto"/>
            <w:noWrap/>
            <w:vAlign w:val="bottom"/>
            <w:hideMark/>
          </w:tcPr>
          <w:p w14:paraId="7A8CDF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2501</w:t>
            </w:r>
          </w:p>
        </w:tc>
      </w:tr>
      <w:tr w:rsidR="00044023" w:rsidRPr="00044023" w14:paraId="43EC46DD" w14:textId="77777777" w:rsidTr="00044023">
        <w:trPr>
          <w:trHeight w:val="68"/>
        </w:trPr>
        <w:tc>
          <w:tcPr>
            <w:tcW w:w="960" w:type="dxa"/>
            <w:tcBorders>
              <w:top w:val="nil"/>
              <w:left w:val="nil"/>
              <w:bottom w:val="nil"/>
              <w:right w:val="nil"/>
            </w:tcBorders>
            <w:shd w:val="clear" w:color="auto" w:fill="auto"/>
            <w:noWrap/>
            <w:vAlign w:val="bottom"/>
            <w:hideMark/>
          </w:tcPr>
          <w:p w14:paraId="23D9C8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1992</w:t>
            </w:r>
          </w:p>
        </w:tc>
        <w:tc>
          <w:tcPr>
            <w:tcW w:w="724" w:type="dxa"/>
            <w:tcBorders>
              <w:top w:val="nil"/>
              <w:left w:val="single" w:sz="4" w:space="0" w:color="auto"/>
              <w:bottom w:val="nil"/>
              <w:right w:val="nil"/>
            </w:tcBorders>
            <w:shd w:val="clear" w:color="auto" w:fill="auto"/>
            <w:noWrap/>
            <w:vAlign w:val="bottom"/>
            <w:hideMark/>
          </w:tcPr>
          <w:p w14:paraId="74F6C73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724" w:type="dxa"/>
            <w:tcBorders>
              <w:top w:val="nil"/>
              <w:left w:val="nil"/>
              <w:bottom w:val="nil"/>
              <w:right w:val="nil"/>
            </w:tcBorders>
            <w:shd w:val="clear" w:color="auto" w:fill="auto"/>
            <w:noWrap/>
            <w:vAlign w:val="bottom"/>
            <w:hideMark/>
          </w:tcPr>
          <w:p w14:paraId="3A463B1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3354AEC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2C2CE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668CCC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single" w:sz="4" w:space="0" w:color="auto"/>
            </w:tcBorders>
            <w:shd w:val="clear" w:color="auto" w:fill="auto"/>
            <w:noWrap/>
            <w:vAlign w:val="bottom"/>
            <w:hideMark/>
          </w:tcPr>
          <w:p w14:paraId="4D84BD4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680" w:type="dxa"/>
            <w:tcBorders>
              <w:top w:val="nil"/>
              <w:left w:val="nil"/>
              <w:bottom w:val="nil"/>
              <w:right w:val="nil"/>
            </w:tcBorders>
            <w:shd w:val="clear" w:color="auto" w:fill="auto"/>
            <w:noWrap/>
            <w:vAlign w:val="bottom"/>
            <w:hideMark/>
          </w:tcPr>
          <w:p w14:paraId="785DC4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w:t>
            </w:r>
          </w:p>
        </w:tc>
        <w:tc>
          <w:tcPr>
            <w:tcW w:w="1340" w:type="dxa"/>
            <w:tcBorders>
              <w:top w:val="nil"/>
              <w:left w:val="nil"/>
              <w:bottom w:val="nil"/>
              <w:right w:val="nil"/>
            </w:tcBorders>
            <w:shd w:val="clear" w:color="auto" w:fill="auto"/>
            <w:noWrap/>
            <w:vAlign w:val="bottom"/>
            <w:hideMark/>
          </w:tcPr>
          <w:p w14:paraId="4052CF6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2532</w:t>
            </w:r>
          </w:p>
        </w:tc>
      </w:tr>
      <w:tr w:rsidR="00044023" w:rsidRPr="00044023" w14:paraId="0B1E4B6D" w14:textId="77777777" w:rsidTr="00044023">
        <w:trPr>
          <w:trHeight w:val="68"/>
        </w:trPr>
        <w:tc>
          <w:tcPr>
            <w:tcW w:w="960" w:type="dxa"/>
            <w:tcBorders>
              <w:top w:val="nil"/>
              <w:left w:val="nil"/>
              <w:bottom w:val="nil"/>
              <w:right w:val="nil"/>
            </w:tcBorders>
            <w:shd w:val="clear" w:color="auto" w:fill="auto"/>
            <w:noWrap/>
            <w:vAlign w:val="bottom"/>
            <w:hideMark/>
          </w:tcPr>
          <w:p w14:paraId="5A6763F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1993</w:t>
            </w:r>
          </w:p>
        </w:tc>
        <w:tc>
          <w:tcPr>
            <w:tcW w:w="724" w:type="dxa"/>
            <w:tcBorders>
              <w:top w:val="nil"/>
              <w:left w:val="single" w:sz="4" w:space="0" w:color="auto"/>
              <w:bottom w:val="nil"/>
              <w:right w:val="nil"/>
            </w:tcBorders>
            <w:shd w:val="clear" w:color="auto" w:fill="auto"/>
            <w:noWrap/>
            <w:vAlign w:val="bottom"/>
            <w:hideMark/>
          </w:tcPr>
          <w:p w14:paraId="4B724F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4" w:type="dxa"/>
            <w:tcBorders>
              <w:top w:val="nil"/>
              <w:left w:val="nil"/>
              <w:bottom w:val="nil"/>
              <w:right w:val="nil"/>
            </w:tcBorders>
            <w:shd w:val="clear" w:color="auto" w:fill="auto"/>
            <w:noWrap/>
            <w:vAlign w:val="bottom"/>
            <w:hideMark/>
          </w:tcPr>
          <w:p w14:paraId="7B4F5D2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723" w:type="dxa"/>
            <w:tcBorders>
              <w:top w:val="nil"/>
              <w:left w:val="nil"/>
              <w:bottom w:val="nil"/>
              <w:right w:val="nil"/>
            </w:tcBorders>
            <w:shd w:val="clear" w:color="auto" w:fill="auto"/>
            <w:noWrap/>
            <w:vAlign w:val="bottom"/>
            <w:hideMark/>
          </w:tcPr>
          <w:p w14:paraId="2EB624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1C9D293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54424C3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0E72A6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5F7527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28</w:t>
            </w:r>
          </w:p>
        </w:tc>
        <w:tc>
          <w:tcPr>
            <w:tcW w:w="1340" w:type="dxa"/>
            <w:tcBorders>
              <w:top w:val="nil"/>
              <w:left w:val="nil"/>
              <w:bottom w:val="nil"/>
              <w:right w:val="nil"/>
            </w:tcBorders>
            <w:shd w:val="clear" w:color="auto" w:fill="auto"/>
            <w:noWrap/>
            <w:vAlign w:val="bottom"/>
            <w:hideMark/>
          </w:tcPr>
          <w:p w14:paraId="2C77CDC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2560</w:t>
            </w:r>
          </w:p>
        </w:tc>
      </w:tr>
      <w:tr w:rsidR="00044023" w:rsidRPr="00044023" w14:paraId="298F4D71" w14:textId="77777777" w:rsidTr="00044023">
        <w:trPr>
          <w:trHeight w:val="125"/>
        </w:trPr>
        <w:tc>
          <w:tcPr>
            <w:tcW w:w="960" w:type="dxa"/>
            <w:tcBorders>
              <w:top w:val="nil"/>
              <w:left w:val="nil"/>
              <w:bottom w:val="nil"/>
              <w:right w:val="nil"/>
            </w:tcBorders>
            <w:shd w:val="clear" w:color="auto" w:fill="auto"/>
            <w:noWrap/>
            <w:vAlign w:val="bottom"/>
            <w:hideMark/>
          </w:tcPr>
          <w:p w14:paraId="244038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1994</w:t>
            </w:r>
          </w:p>
        </w:tc>
        <w:tc>
          <w:tcPr>
            <w:tcW w:w="724" w:type="dxa"/>
            <w:tcBorders>
              <w:top w:val="nil"/>
              <w:left w:val="single" w:sz="4" w:space="0" w:color="auto"/>
              <w:bottom w:val="nil"/>
              <w:right w:val="nil"/>
            </w:tcBorders>
            <w:shd w:val="clear" w:color="auto" w:fill="auto"/>
            <w:noWrap/>
            <w:vAlign w:val="bottom"/>
            <w:hideMark/>
          </w:tcPr>
          <w:p w14:paraId="4ED52CB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4" w:type="dxa"/>
            <w:tcBorders>
              <w:top w:val="nil"/>
              <w:left w:val="nil"/>
              <w:bottom w:val="nil"/>
              <w:right w:val="nil"/>
            </w:tcBorders>
            <w:shd w:val="clear" w:color="auto" w:fill="auto"/>
            <w:noWrap/>
            <w:vAlign w:val="bottom"/>
            <w:hideMark/>
          </w:tcPr>
          <w:p w14:paraId="63209CE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723" w:type="dxa"/>
            <w:tcBorders>
              <w:top w:val="nil"/>
              <w:left w:val="nil"/>
              <w:bottom w:val="nil"/>
              <w:right w:val="nil"/>
            </w:tcBorders>
            <w:shd w:val="clear" w:color="auto" w:fill="auto"/>
            <w:noWrap/>
            <w:vAlign w:val="bottom"/>
            <w:hideMark/>
          </w:tcPr>
          <w:p w14:paraId="752F33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2EC4DA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105D7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BC2C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680" w:type="dxa"/>
            <w:tcBorders>
              <w:top w:val="nil"/>
              <w:left w:val="nil"/>
              <w:bottom w:val="nil"/>
              <w:right w:val="nil"/>
            </w:tcBorders>
            <w:shd w:val="clear" w:color="auto" w:fill="auto"/>
            <w:noWrap/>
            <w:vAlign w:val="bottom"/>
            <w:hideMark/>
          </w:tcPr>
          <w:p w14:paraId="71DBEB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w:t>
            </w:r>
          </w:p>
        </w:tc>
        <w:tc>
          <w:tcPr>
            <w:tcW w:w="1340" w:type="dxa"/>
            <w:tcBorders>
              <w:top w:val="nil"/>
              <w:left w:val="nil"/>
              <w:bottom w:val="nil"/>
              <w:right w:val="nil"/>
            </w:tcBorders>
            <w:shd w:val="clear" w:color="auto" w:fill="auto"/>
            <w:noWrap/>
            <w:vAlign w:val="bottom"/>
            <w:hideMark/>
          </w:tcPr>
          <w:p w14:paraId="1CE21D6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2585</w:t>
            </w:r>
          </w:p>
        </w:tc>
      </w:tr>
      <w:tr w:rsidR="00044023" w:rsidRPr="00044023" w14:paraId="07CB70EE" w14:textId="77777777" w:rsidTr="00044023">
        <w:trPr>
          <w:trHeight w:val="129"/>
        </w:trPr>
        <w:tc>
          <w:tcPr>
            <w:tcW w:w="960" w:type="dxa"/>
            <w:tcBorders>
              <w:top w:val="nil"/>
              <w:left w:val="nil"/>
              <w:bottom w:val="nil"/>
              <w:right w:val="nil"/>
            </w:tcBorders>
            <w:shd w:val="clear" w:color="auto" w:fill="auto"/>
            <w:noWrap/>
            <w:vAlign w:val="bottom"/>
            <w:hideMark/>
          </w:tcPr>
          <w:p w14:paraId="799AAB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1995</w:t>
            </w:r>
          </w:p>
        </w:tc>
        <w:tc>
          <w:tcPr>
            <w:tcW w:w="724" w:type="dxa"/>
            <w:tcBorders>
              <w:top w:val="nil"/>
              <w:left w:val="single" w:sz="4" w:space="0" w:color="auto"/>
              <w:bottom w:val="nil"/>
              <w:right w:val="nil"/>
            </w:tcBorders>
            <w:shd w:val="clear" w:color="auto" w:fill="auto"/>
            <w:noWrap/>
            <w:vAlign w:val="bottom"/>
            <w:hideMark/>
          </w:tcPr>
          <w:p w14:paraId="3DA060F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4CB3F45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2EB0771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42D528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06737ED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7D51FC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6630AE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22</w:t>
            </w:r>
          </w:p>
        </w:tc>
        <w:tc>
          <w:tcPr>
            <w:tcW w:w="1340" w:type="dxa"/>
            <w:tcBorders>
              <w:top w:val="nil"/>
              <w:left w:val="nil"/>
              <w:bottom w:val="nil"/>
              <w:right w:val="nil"/>
            </w:tcBorders>
            <w:shd w:val="clear" w:color="auto" w:fill="auto"/>
            <w:noWrap/>
            <w:vAlign w:val="bottom"/>
            <w:hideMark/>
          </w:tcPr>
          <w:p w14:paraId="74A20CA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2607</w:t>
            </w:r>
          </w:p>
        </w:tc>
      </w:tr>
      <w:tr w:rsidR="00044023" w:rsidRPr="00044023" w14:paraId="03C77580" w14:textId="77777777" w:rsidTr="00044023">
        <w:trPr>
          <w:trHeight w:val="119"/>
        </w:trPr>
        <w:tc>
          <w:tcPr>
            <w:tcW w:w="960" w:type="dxa"/>
            <w:tcBorders>
              <w:top w:val="nil"/>
              <w:left w:val="nil"/>
              <w:bottom w:val="nil"/>
              <w:right w:val="nil"/>
            </w:tcBorders>
            <w:shd w:val="clear" w:color="auto" w:fill="auto"/>
            <w:noWrap/>
            <w:vAlign w:val="bottom"/>
            <w:hideMark/>
          </w:tcPr>
          <w:p w14:paraId="22B818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1996</w:t>
            </w:r>
          </w:p>
        </w:tc>
        <w:tc>
          <w:tcPr>
            <w:tcW w:w="724" w:type="dxa"/>
            <w:tcBorders>
              <w:top w:val="nil"/>
              <w:left w:val="single" w:sz="4" w:space="0" w:color="auto"/>
              <w:bottom w:val="nil"/>
              <w:right w:val="nil"/>
            </w:tcBorders>
            <w:shd w:val="clear" w:color="auto" w:fill="auto"/>
            <w:noWrap/>
            <w:vAlign w:val="bottom"/>
            <w:hideMark/>
          </w:tcPr>
          <w:p w14:paraId="0B8DEF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4" w:type="dxa"/>
            <w:tcBorders>
              <w:top w:val="nil"/>
              <w:left w:val="nil"/>
              <w:bottom w:val="nil"/>
              <w:right w:val="nil"/>
            </w:tcBorders>
            <w:shd w:val="clear" w:color="auto" w:fill="auto"/>
            <w:noWrap/>
            <w:vAlign w:val="bottom"/>
            <w:hideMark/>
          </w:tcPr>
          <w:p w14:paraId="5F33970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723" w:type="dxa"/>
            <w:tcBorders>
              <w:top w:val="nil"/>
              <w:left w:val="nil"/>
              <w:bottom w:val="nil"/>
              <w:right w:val="nil"/>
            </w:tcBorders>
            <w:shd w:val="clear" w:color="auto" w:fill="auto"/>
            <w:noWrap/>
            <w:vAlign w:val="bottom"/>
            <w:hideMark/>
          </w:tcPr>
          <w:p w14:paraId="5934D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5C2907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D09B3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68287A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3E8F35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w:t>
            </w:r>
          </w:p>
        </w:tc>
        <w:tc>
          <w:tcPr>
            <w:tcW w:w="1340" w:type="dxa"/>
            <w:tcBorders>
              <w:top w:val="nil"/>
              <w:left w:val="nil"/>
              <w:bottom w:val="nil"/>
              <w:right w:val="nil"/>
            </w:tcBorders>
            <w:shd w:val="clear" w:color="auto" w:fill="auto"/>
            <w:noWrap/>
            <w:vAlign w:val="bottom"/>
            <w:hideMark/>
          </w:tcPr>
          <w:p w14:paraId="4ACBB40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2627</w:t>
            </w:r>
          </w:p>
        </w:tc>
      </w:tr>
      <w:tr w:rsidR="00044023" w:rsidRPr="00044023" w14:paraId="2276C38D" w14:textId="77777777" w:rsidTr="00044023">
        <w:trPr>
          <w:trHeight w:val="110"/>
        </w:trPr>
        <w:tc>
          <w:tcPr>
            <w:tcW w:w="960" w:type="dxa"/>
            <w:tcBorders>
              <w:top w:val="nil"/>
              <w:left w:val="nil"/>
              <w:bottom w:val="nil"/>
              <w:right w:val="nil"/>
            </w:tcBorders>
            <w:shd w:val="clear" w:color="auto" w:fill="auto"/>
            <w:noWrap/>
            <w:vAlign w:val="bottom"/>
            <w:hideMark/>
          </w:tcPr>
          <w:p w14:paraId="15F35F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1997</w:t>
            </w:r>
          </w:p>
        </w:tc>
        <w:tc>
          <w:tcPr>
            <w:tcW w:w="724" w:type="dxa"/>
            <w:tcBorders>
              <w:top w:val="nil"/>
              <w:left w:val="single" w:sz="4" w:space="0" w:color="auto"/>
              <w:bottom w:val="nil"/>
              <w:right w:val="nil"/>
            </w:tcBorders>
            <w:shd w:val="clear" w:color="auto" w:fill="auto"/>
            <w:noWrap/>
            <w:vAlign w:val="bottom"/>
            <w:hideMark/>
          </w:tcPr>
          <w:p w14:paraId="3490895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27F1E8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3" w:type="dxa"/>
            <w:tcBorders>
              <w:top w:val="nil"/>
              <w:left w:val="nil"/>
              <w:bottom w:val="nil"/>
              <w:right w:val="nil"/>
            </w:tcBorders>
            <w:shd w:val="clear" w:color="auto" w:fill="auto"/>
            <w:noWrap/>
            <w:vAlign w:val="bottom"/>
            <w:hideMark/>
          </w:tcPr>
          <w:p w14:paraId="0682DFB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5CE1C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F1E546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39990A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3F33A4F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18</w:t>
            </w:r>
          </w:p>
        </w:tc>
        <w:tc>
          <w:tcPr>
            <w:tcW w:w="1340" w:type="dxa"/>
            <w:tcBorders>
              <w:top w:val="nil"/>
              <w:left w:val="nil"/>
              <w:bottom w:val="nil"/>
              <w:right w:val="nil"/>
            </w:tcBorders>
            <w:shd w:val="clear" w:color="auto" w:fill="auto"/>
            <w:noWrap/>
            <w:vAlign w:val="bottom"/>
            <w:hideMark/>
          </w:tcPr>
          <w:p w14:paraId="3B4D605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2645</w:t>
            </w:r>
          </w:p>
        </w:tc>
      </w:tr>
      <w:tr w:rsidR="00044023" w:rsidRPr="00044023" w14:paraId="03BF2404" w14:textId="77777777" w:rsidTr="00044023">
        <w:trPr>
          <w:trHeight w:val="113"/>
        </w:trPr>
        <w:tc>
          <w:tcPr>
            <w:tcW w:w="960" w:type="dxa"/>
            <w:tcBorders>
              <w:top w:val="nil"/>
              <w:left w:val="nil"/>
              <w:bottom w:val="nil"/>
              <w:right w:val="nil"/>
            </w:tcBorders>
            <w:shd w:val="clear" w:color="auto" w:fill="auto"/>
            <w:noWrap/>
            <w:vAlign w:val="bottom"/>
            <w:hideMark/>
          </w:tcPr>
          <w:p w14:paraId="4138C4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1998</w:t>
            </w:r>
          </w:p>
        </w:tc>
        <w:tc>
          <w:tcPr>
            <w:tcW w:w="724" w:type="dxa"/>
            <w:tcBorders>
              <w:top w:val="nil"/>
              <w:left w:val="single" w:sz="4" w:space="0" w:color="auto"/>
              <w:bottom w:val="nil"/>
              <w:right w:val="nil"/>
            </w:tcBorders>
            <w:shd w:val="clear" w:color="auto" w:fill="auto"/>
            <w:noWrap/>
            <w:vAlign w:val="bottom"/>
            <w:hideMark/>
          </w:tcPr>
          <w:p w14:paraId="39C5F9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724" w:type="dxa"/>
            <w:tcBorders>
              <w:top w:val="nil"/>
              <w:left w:val="nil"/>
              <w:bottom w:val="nil"/>
              <w:right w:val="nil"/>
            </w:tcBorders>
            <w:shd w:val="clear" w:color="auto" w:fill="auto"/>
            <w:noWrap/>
            <w:vAlign w:val="bottom"/>
            <w:hideMark/>
          </w:tcPr>
          <w:p w14:paraId="7B07F1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AD73FF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2EBEEBD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6D6A2E4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single" w:sz="4" w:space="0" w:color="auto"/>
            </w:tcBorders>
            <w:shd w:val="clear" w:color="auto" w:fill="auto"/>
            <w:noWrap/>
            <w:vAlign w:val="bottom"/>
            <w:hideMark/>
          </w:tcPr>
          <w:p w14:paraId="1D7D78B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680" w:type="dxa"/>
            <w:tcBorders>
              <w:top w:val="nil"/>
              <w:left w:val="nil"/>
              <w:bottom w:val="nil"/>
              <w:right w:val="nil"/>
            </w:tcBorders>
            <w:shd w:val="clear" w:color="auto" w:fill="auto"/>
            <w:noWrap/>
            <w:vAlign w:val="bottom"/>
            <w:hideMark/>
          </w:tcPr>
          <w:p w14:paraId="718BC23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16</w:t>
            </w:r>
          </w:p>
        </w:tc>
        <w:tc>
          <w:tcPr>
            <w:tcW w:w="1340" w:type="dxa"/>
            <w:tcBorders>
              <w:top w:val="nil"/>
              <w:left w:val="nil"/>
              <w:bottom w:val="nil"/>
              <w:right w:val="nil"/>
            </w:tcBorders>
            <w:shd w:val="clear" w:color="auto" w:fill="auto"/>
            <w:noWrap/>
            <w:vAlign w:val="bottom"/>
            <w:hideMark/>
          </w:tcPr>
          <w:p w14:paraId="19A5ABD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2661</w:t>
            </w:r>
          </w:p>
        </w:tc>
      </w:tr>
      <w:tr w:rsidR="00044023" w:rsidRPr="00044023" w14:paraId="0CF08698" w14:textId="77777777" w:rsidTr="00044023">
        <w:trPr>
          <w:trHeight w:val="104"/>
        </w:trPr>
        <w:tc>
          <w:tcPr>
            <w:tcW w:w="960" w:type="dxa"/>
            <w:tcBorders>
              <w:top w:val="nil"/>
              <w:left w:val="nil"/>
              <w:bottom w:val="nil"/>
              <w:right w:val="nil"/>
            </w:tcBorders>
            <w:shd w:val="clear" w:color="auto" w:fill="auto"/>
            <w:noWrap/>
            <w:vAlign w:val="bottom"/>
            <w:hideMark/>
          </w:tcPr>
          <w:p w14:paraId="56D5620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1999</w:t>
            </w:r>
          </w:p>
        </w:tc>
        <w:tc>
          <w:tcPr>
            <w:tcW w:w="724" w:type="dxa"/>
            <w:tcBorders>
              <w:top w:val="nil"/>
              <w:left w:val="single" w:sz="4" w:space="0" w:color="auto"/>
              <w:bottom w:val="nil"/>
              <w:right w:val="nil"/>
            </w:tcBorders>
            <w:shd w:val="clear" w:color="auto" w:fill="auto"/>
            <w:noWrap/>
            <w:vAlign w:val="bottom"/>
            <w:hideMark/>
          </w:tcPr>
          <w:p w14:paraId="531F7A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99F921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79B4C34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B4D19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01DA44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D916B9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3ED86E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14</w:t>
            </w:r>
          </w:p>
        </w:tc>
        <w:tc>
          <w:tcPr>
            <w:tcW w:w="1340" w:type="dxa"/>
            <w:tcBorders>
              <w:top w:val="nil"/>
              <w:left w:val="nil"/>
              <w:bottom w:val="nil"/>
              <w:right w:val="nil"/>
            </w:tcBorders>
            <w:shd w:val="clear" w:color="auto" w:fill="auto"/>
            <w:noWrap/>
            <w:vAlign w:val="bottom"/>
            <w:hideMark/>
          </w:tcPr>
          <w:p w14:paraId="10223FA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2675</w:t>
            </w:r>
          </w:p>
        </w:tc>
      </w:tr>
      <w:tr w:rsidR="00044023" w:rsidRPr="00044023" w14:paraId="1C5EE97E" w14:textId="77777777" w:rsidTr="00044023">
        <w:trPr>
          <w:trHeight w:val="107"/>
        </w:trPr>
        <w:tc>
          <w:tcPr>
            <w:tcW w:w="960" w:type="dxa"/>
            <w:tcBorders>
              <w:top w:val="nil"/>
              <w:left w:val="nil"/>
              <w:bottom w:val="nil"/>
              <w:right w:val="nil"/>
            </w:tcBorders>
            <w:shd w:val="clear" w:color="auto" w:fill="auto"/>
            <w:noWrap/>
            <w:vAlign w:val="bottom"/>
            <w:hideMark/>
          </w:tcPr>
          <w:p w14:paraId="02682D0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2000</w:t>
            </w:r>
          </w:p>
        </w:tc>
        <w:tc>
          <w:tcPr>
            <w:tcW w:w="724" w:type="dxa"/>
            <w:tcBorders>
              <w:top w:val="nil"/>
              <w:left w:val="single" w:sz="4" w:space="0" w:color="auto"/>
              <w:bottom w:val="nil"/>
              <w:right w:val="nil"/>
            </w:tcBorders>
            <w:shd w:val="clear" w:color="auto" w:fill="auto"/>
            <w:noWrap/>
            <w:vAlign w:val="bottom"/>
            <w:hideMark/>
          </w:tcPr>
          <w:p w14:paraId="7194BED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7269E8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3" w:type="dxa"/>
            <w:tcBorders>
              <w:top w:val="nil"/>
              <w:left w:val="nil"/>
              <w:bottom w:val="nil"/>
              <w:right w:val="nil"/>
            </w:tcBorders>
            <w:shd w:val="clear" w:color="auto" w:fill="auto"/>
            <w:noWrap/>
            <w:vAlign w:val="bottom"/>
            <w:hideMark/>
          </w:tcPr>
          <w:p w14:paraId="640159D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2E069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6475EA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4B07C2B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03C6360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13</w:t>
            </w:r>
          </w:p>
        </w:tc>
        <w:tc>
          <w:tcPr>
            <w:tcW w:w="1340" w:type="dxa"/>
            <w:tcBorders>
              <w:top w:val="nil"/>
              <w:left w:val="nil"/>
              <w:bottom w:val="nil"/>
              <w:right w:val="nil"/>
            </w:tcBorders>
            <w:shd w:val="clear" w:color="auto" w:fill="auto"/>
            <w:noWrap/>
            <w:vAlign w:val="bottom"/>
            <w:hideMark/>
          </w:tcPr>
          <w:p w14:paraId="6613B04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2688</w:t>
            </w:r>
          </w:p>
        </w:tc>
      </w:tr>
      <w:tr w:rsidR="00044023" w:rsidRPr="00044023" w14:paraId="75BCDD29" w14:textId="77777777" w:rsidTr="00044023">
        <w:trPr>
          <w:trHeight w:val="98"/>
        </w:trPr>
        <w:tc>
          <w:tcPr>
            <w:tcW w:w="960" w:type="dxa"/>
            <w:tcBorders>
              <w:top w:val="nil"/>
              <w:left w:val="nil"/>
              <w:bottom w:val="nil"/>
              <w:right w:val="nil"/>
            </w:tcBorders>
            <w:shd w:val="clear" w:color="auto" w:fill="auto"/>
            <w:noWrap/>
            <w:vAlign w:val="bottom"/>
            <w:hideMark/>
          </w:tcPr>
          <w:p w14:paraId="00303BC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2001</w:t>
            </w:r>
          </w:p>
        </w:tc>
        <w:tc>
          <w:tcPr>
            <w:tcW w:w="724" w:type="dxa"/>
            <w:tcBorders>
              <w:top w:val="nil"/>
              <w:left w:val="single" w:sz="4" w:space="0" w:color="auto"/>
              <w:bottom w:val="nil"/>
              <w:right w:val="nil"/>
            </w:tcBorders>
            <w:shd w:val="clear" w:color="auto" w:fill="auto"/>
            <w:noWrap/>
            <w:vAlign w:val="bottom"/>
            <w:hideMark/>
          </w:tcPr>
          <w:p w14:paraId="5570F8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69F3CE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4956B14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1DDC57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915876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F7E2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B9BDF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11</w:t>
            </w:r>
          </w:p>
        </w:tc>
        <w:tc>
          <w:tcPr>
            <w:tcW w:w="1340" w:type="dxa"/>
            <w:tcBorders>
              <w:top w:val="nil"/>
              <w:left w:val="nil"/>
              <w:bottom w:val="nil"/>
              <w:right w:val="nil"/>
            </w:tcBorders>
            <w:shd w:val="clear" w:color="auto" w:fill="auto"/>
            <w:noWrap/>
            <w:vAlign w:val="bottom"/>
            <w:hideMark/>
          </w:tcPr>
          <w:p w14:paraId="71B988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2700</w:t>
            </w:r>
          </w:p>
        </w:tc>
      </w:tr>
      <w:tr w:rsidR="00044023" w:rsidRPr="00044023" w14:paraId="650AEC9D" w14:textId="77777777" w:rsidTr="00044023">
        <w:trPr>
          <w:trHeight w:val="229"/>
        </w:trPr>
        <w:tc>
          <w:tcPr>
            <w:tcW w:w="960" w:type="dxa"/>
            <w:tcBorders>
              <w:top w:val="nil"/>
              <w:left w:val="nil"/>
              <w:bottom w:val="nil"/>
              <w:right w:val="nil"/>
            </w:tcBorders>
            <w:shd w:val="clear" w:color="auto" w:fill="auto"/>
            <w:noWrap/>
            <w:vAlign w:val="bottom"/>
            <w:hideMark/>
          </w:tcPr>
          <w:p w14:paraId="697D746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2002</w:t>
            </w:r>
          </w:p>
        </w:tc>
        <w:tc>
          <w:tcPr>
            <w:tcW w:w="724" w:type="dxa"/>
            <w:tcBorders>
              <w:top w:val="nil"/>
              <w:left w:val="single" w:sz="4" w:space="0" w:color="auto"/>
              <w:bottom w:val="nil"/>
              <w:right w:val="nil"/>
            </w:tcBorders>
            <w:shd w:val="clear" w:color="auto" w:fill="auto"/>
            <w:noWrap/>
            <w:vAlign w:val="bottom"/>
            <w:hideMark/>
          </w:tcPr>
          <w:p w14:paraId="0CE6FB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724" w:type="dxa"/>
            <w:tcBorders>
              <w:top w:val="nil"/>
              <w:left w:val="nil"/>
              <w:bottom w:val="nil"/>
              <w:right w:val="nil"/>
            </w:tcBorders>
            <w:shd w:val="clear" w:color="auto" w:fill="auto"/>
            <w:noWrap/>
            <w:vAlign w:val="bottom"/>
            <w:hideMark/>
          </w:tcPr>
          <w:p w14:paraId="145D123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18FA5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EBA3B4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8209A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2CB9689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5FED6A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10</w:t>
            </w:r>
          </w:p>
        </w:tc>
        <w:tc>
          <w:tcPr>
            <w:tcW w:w="1340" w:type="dxa"/>
            <w:tcBorders>
              <w:top w:val="nil"/>
              <w:left w:val="nil"/>
              <w:bottom w:val="nil"/>
              <w:right w:val="nil"/>
            </w:tcBorders>
            <w:shd w:val="clear" w:color="auto" w:fill="auto"/>
            <w:noWrap/>
            <w:vAlign w:val="bottom"/>
            <w:hideMark/>
          </w:tcPr>
          <w:p w14:paraId="320E2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2710</w:t>
            </w:r>
          </w:p>
        </w:tc>
      </w:tr>
      <w:tr w:rsidR="00044023" w:rsidRPr="00044023" w14:paraId="7E383292" w14:textId="77777777" w:rsidTr="00044023">
        <w:trPr>
          <w:trHeight w:val="234"/>
        </w:trPr>
        <w:tc>
          <w:tcPr>
            <w:tcW w:w="960" w:type="dxa"/>
            <w:tcBorders>
              <w:top w:val="nil"/>
              <w:left w:val="nil"/>
              <w:bottom w:val="nil"/>
              <w:right w:val="nil"/>
            </w:tcBorders>
            <w:shd w:val="clear" w:color="auto" w:fill="auto"/>
            <w:noWrap/>
            <w:vAlign w:val="bottom"/>
            <w:hideMark/>
          </w:tcPr>
          <w:p w14:paraId="6F242F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2003</w:t>
            </w:r>
          </w:p>
        </w:tc>
        <w:tc>
          <w:tcPr>
            <w:tcW w:w="724" w:type="dxa"/>
            <w:tcBorders>
              <w:top w:val="nil"/>
              <w:left w:val="single" w:sz="4" w:space="0" w:color="auto"/>
              <w:bottom w:val="nil"/>
              <w:right w:val="nil"/>
            </w:tcBorders>
            <w:shd w:val="clear" w:color="auto" w:fill="auto"/>
            <w:noWrap/>
            <w:vAlign w:val="bottom"/>
            <w:hideMark/>
          </w:tcPr>
          <w:p w14:paraId="5A2F0F9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5A771C4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2683CD1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60DA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39D02D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3983170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680" w:type="dxa"/>
            <w:tcBorders>
              <w:top w:val="nil"/>
              <w:left w:val="nil"/>
              <w:bottom w:val="nil"/>
              <w:right w:val="nil"/>
            </w:tcBorders>
            <w:shd w:val="clear" w:color="auto" w:fill="auto"/>
            <w:noWrap/>
            <w:vAlign w:val="bottom"/>
            <w:hideMark/>
          </w:tcPr>
          <w:p w14:paraId="7517130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1140CE5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2719</w:t>
            </w:r>
          </w:p>
        </w:tc>
      </w:tr>
      <w:tr w:rsidR="00044023" w:rsidRPr="00044023" w14:paraId="23516902" w14:textId="77777777" w:rsidTr="00044023">
        <w:trPr>
          <w:trHeight w:val="223"/>
        </w:trPr>
        <w:tc>
          <w:tcPr>
            <w:tcW w:w="960" w:type="dxa"/>
            <w:tcBorders>
              <w:top w:val="nil"/>
              <w:left w:val="nil"/>
              <w:bottom w:val="nil"/>
              <w:right w:val="nil"/>
            </w:tcBorders>
            <w:shd w:val="clear" w:color="auto" w:fill="auto"/>
            <w:noWrap/>
            <w:vAlign w:val="bottom"/>
            <w:hideMark/>
          </w:tcPr>
          <w:p w14:paraId="4CF904D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2004</w:t>
            </w:r>
          </w:p>
        </w:tc>
        <w:tc>
          <w:tcPr>
            <w:tcW w:w="724" w:type="dxa"/>
            <w:tcBorders>
              <w:top w:val="nil"/>
              <w:left w:val="single" w:sz="4" w:space="0" w:color="auto"/>
              <w:bottom w:val="nil"/>
              <w:right w:val="nil"/>
            </w:tcBorders>
            <w:shd w:val="clear" w:color="auto" w:fill="auto"/>
            <w:noWrap/>
            <w:vAlign w:val="bottom"/>
            <w:hideMark/>
          </w:tcPr>
          <w:p w14:paraId="083CC6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E91BD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82316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551D8C5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99E5D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6639F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CB51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9</w:t>
            </w:r>
          </w:p>
        </w:tc>
        <w:tc>
          <w:tcPr>
            <w:tcW w:w="1340" w:type="dxa"/>
            <w:tcBorders>
              <w:top w:val="nil"/>
              <w:left w:val="nil"/>
              <w:bottom w:val="nil"/>
              <w:right w:val="nil"/>
            </w:tcBorders>
            <w:shd w:val="clear" w:color="auto" w:fill="auto"/>
            <w:noWrap/>
            <w:vAlign w:val="bottom"/>
            <w:hideMark/>
          </w:tcPr>
          <w:p w14:paraId="61FC338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2728</w:t>
            </w:r>
          </w:p>
        </w:tc>
      </w:tr>
      <w:tr w:rsidR="00044023" w:rsidRPr="00044023" w14:paraId="7312AD6F" w14:textId="77777777" w:rsidTr="00044023">
        <w:trPr>
          <w:trHeight w:val="228"/>
        </w:trPr>
        <w:tc>
          <w:tcPr>
            <w:tcW w:w="960" w:type="dxa"/>
            <w:tcBorders>
              <w:top w:val="nil"/>
              <w:left w:val="nil"/>
              <w:bottom w:val="nil"/>
              <w:right w:val="nil"/>
            </w:tcBorders>
            <w:shd w:val="clear" w:color="auto" w:fill="auto"/>
            <w:noWrap/>
            <w:vAlign w:val="bottom"/>
            <w:hideMark/>
          </w:tcPr>
          <w:p w14:paraId="0536369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2005</w:t>
            </w:r>
          </w:p>
        </w:tc>
        <w:tc>
          <w:tcPr>
            <w:tcW w:w="724" w:type="dxa"/>
            <w:tcBorders>
              <w:top w:val="nil"/>
              <w:left w:val="single" w:sz="4" w:space="0" w:color="auto"/>
              <w:bottom w:val="nil"/>
              <w:right w:val="nil"/>
            </w:tcBorders>
            <w:shd w:val="clear" w:color="auto" w:fill="auto"/>
            <w:noWrap/>
            <w:vAlign w:val="bottom"/>
            <w:hideMark/>
          </w:tcPr>
          <w:p w14:paraId="0BD8EF9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1C6B1D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545144A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CC3C7C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DD3387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B290E2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7110F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w:t>
            </w:r>
          </w:p>
        </w:tc>
        <w:tc>
          <w:tcPr>
            <w:tcW w:w="1340" w:type="dxa"/>
            <w:tcBorders>
              <w:top w:val="nil"/>
              <w:left w:val="nil"/>
              <w:bottom w:val="nil"/>
              <w:right w:val="nil"/>
            </w:tcBorders>
            <w:shd w:val="clear" w:color="auto" w:fill="auto"/>
            <w:noWrap/>
            <w:vAlign w:val="bottom"/>
            <w:hideMark/>
          </w:tcPr>
          <w:p w14:paraId="33C04B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2736</w:t>
            </w:r>
          </w:p>
        </w:tc>
      </w:tr>
      <w:tr w:rsidR="00044023" w:rsidRPr="00044023" w14:paraId="56DA0AAB" w14:textId="77777777" w:rsidTr="00044023">
        <w:trPr>
          <w:trHeight w:val="217"/>
        </w:trPr>
        <w:tc>
          <w:tcPr>
            <w:tcW w:w="960" w:type="dxa"/>
            <w:tcBorders>
              <w:top w:val="nil"/>
              <w:left w:val="nil"/>
              <w:bottom w:val="nil"/>
              <w:right w:val="nil"/>
            </w:tcBorders>
            <w:shd w:val="clear" w:color="auto" w:fill="auto"/>
            <w:noWrap/>
            <w:vAlign w:val="bottom"/>
            <w:hideMark/>
          </w:tcPr>
          <w:p w14:paraId="2E94727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2006</w:t>
            </w:r>
          </w:p>
        </w:tc>
        <w:tc>
          <w:tcPr>
            <w:tcW w:w="724" w:type="dxa"/>
            <w:tcBorders>
              <w:top w:val="nil"/>
              <w:left w:val="single" w:sz="4" w:space="0" w:color="auto"/>
              <w:bottom w:val="nil"/>
              <w:right w:val="nil"/>
            </w:tcBorders>
            <w:shd w:val="clear" w:color="auto" w:fill="auto"/>
            <w:noWrap/>
            <w:vAlign w:val="bottom"/>
            <w:hideMark/>
          </w:tcPr>
          <w:p w14:paraId="0FF7EB8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512E7D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3" w:type="dxa"/>
            <w:tcBorders>
              <w:top w:val="nil"/>
              <w:left w:val="nil"/>
              <w:bottom w:val="nil"/>
              <w:right w:val="nil"/>
            </w:tcBorders>
            <w:shd w:val="clear" w:color="auto" w:fill="auto"/>
            <w:noWrap/>
            <w:vAlign w:val="bottom"/>
            <w:hideMark/>
          </w:tcPr>
          <w:p w14:paraId="3155087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6334DA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937840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01D17B8F"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5C7DBD1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7</w:t>
            </w:r>
          </w:p>
        </w:tc>
        <w:tc>
          <w:tcPr>
            <w:tcW w:w="1340" w:type="dxa"/>
            <w:tcBorders>
              <w:top w:val="nil"/>
              <w:left w:val="nil"/>
              <w:bottom w:val="nil"/>
              <w:right w:val="nil"/>
            </w:tcBorders>
            <w:shd w:val="clear" w:color="auto" w:fill="auto"/>
            <w:noWrap/>
            <w:vAlign w:val="bottom"/>
            <w:hideMark/>
          </w:tcPr>
          <w:p w14:paraId="5ECC18A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2743</w:t>
            </w:r>
          </w:p>
        </w:tc>
      </w:tr>
      <w:tr w:rsidR="00044023" w:rsidRPr="00044023" w14:paraId="1E31CCC6" w14:textId="77777777" w:rsidTr="003400A5">
        <w:trPr>
          <w:trHeight w:val="68"/>
        </w:trPr>
        <w:tc>
          <w:tcPr>
            <w:tcW w:w="960" w:type="dxa"/>
            <w:tcBorders>
              <w:top w:val="nil"/>
              <w:left w:val="nil"/>
              <w:bottom w:val="nil"/>
              <w:right w:val="nil"/>
            </w:tcBorders>
            <w:shd w:val="clear" w:color="auto" w:fill="auto"/>
            <w:noWrap/>
            <w:vAlign w:val="bottom"/>
            <w:hideMark/>
          </w:tcPr>
          <w:p w14:paraId="05D819B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2007</w:t>
            </w:r>
          </w:p>
        </w:tc>
        <w:tc>
          <w:tcPr>
            <w:tcW w:w="724" w:type="dxa"/>
            <w:tcBorders>
              <w:top w:val="nil"/>
              <w:left w:val="single" w:sz="4" w:space="0" w:color="auto"/>
              <w:bottom w:val="nil"/>
              <w:right w:val="nil"/>
            </w:tcBorders>
            <w:shd w:val="clear" w:color="auto" w:fill="auto"/>
            <w:noWrap/>
            <w:vAlign w:val="bottom"/>
            <w:hideMark/>
          </w:tcPr>
          <w:p w14:paraId="4E5F41E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w:t>
            </w:r>
          </w:p>
        </w:tc>
        <w:tc>
          <w:tcPr>
            <w:tcW w:w="724" w:type="dxa"/>
            <w:tcBorders>
              <w:top w:val="nil"/>
              <w:left w:val="nil"/>
              <w:bottom w:val="nil"/>
              <w:right w:val="nil"/>
            </w:tcBorders>
            <w:shd w:val="clear" w:color="auto" w:fill="auto"/>
            <w:noWrap/>
            <w:vAlign w:val="bottom"/>
            <w:hideMark/>
          </w:tcPr>
          <w:p w14:paraId="3770B64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A0E91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1BE9DF7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EA8A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707FE8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8BB88C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1D7B4C7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2749</w:t>
            </w:r>
          </w:p>
        </w:tc>
      </w:tr>
      <w:tr w:rsidR="00044023" w:rsidRPr="00044023" w14:paraId="4D7B03E9" w14:textId="77777777" w:rsidTr="00044023">
        <w:trPr>
          <w:trHeight w:val="211"/>
        </w:trPr>
        <w:tc>
          <w:tcPr>
            <w:tcW w:w="960" w:type="dxa"/>
            <w:tcBorders>
              <w:top w:val="nil"/>
              <w:left w:val="nil"/>
              <w:bottom w:val="nil"/>
              <w:right w:val="nil"/>
            </w:tcBorders>
            <w:shd w:val="clear" w:color="auto" w:fill="auto"/>
            <w:noWrap/>
            <w:vAlign w:val="bottom"/>
            <w:hideMark/>
          </w:tcPr>
          <w:p w14:paraId="7789835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2008</w:t>
            </w:r>
          </w:p>
        </w:tc>
        <w:tc>
          <w:tcPr>
            <w:tcW w:w="724" w:type="dxa"/>
            <w:tcBorders>
              <w:top w:val="nil"/>
              <w:left w:val="single" w:sz="4" w:space="0" w:color="auto"/>
              <w:bottom w:val="nil"/>
              <w:right w:val="nil"/>
            </w:tcBorders>
            <w:shd w:val="clear" w:color="auto" w:fill="auto"/>
            <w:noWrap/>
            <w:vAlign w:val="bottom"/>
            <w:hideMark/>
          </w:tcPr>
          <w:p w14:paraId="7180C8B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4A211F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971A3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7D4F3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F94922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single" w:sz="4" w:space="0" w:color="auto"/>
            </w:tcBorders>
            <w:shd w:val="clear" w:color="auto" w:fill="auto"/>
            <w:noWrap/>
            <w:vAlign w:val="bottom"/>
            <w:hideMark/>
          </w:tcPr>
          <w:p w14:paraId="71B6DFD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0FB7265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w:t>
            </w:r>
          </w:p>
        </w:tc>
        <w:tc>
          <w:tcPr>
            <w:tcW w:w="1340" w:type="dxa"/>
            <w:tcBorders>
              <w:top w:val="nil"/>
              <w:left w:val="nil"/>
              <w:bottom w:val="nil"/>
              <w:right w:val="nil"/>
            </w:tcBorders>
            <w:shd w:val="clear" w:color="auto" w:fill="auto"/>
            <w:noWrap/>
            <w:vAlign w:val="bottom"/>
            <w:hideMark/>
          </w:tcPr>
          <w:p w14:paraId="004761A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2755</w:t>
            </w:r>
          </w:p>
        </w:tc>
      </w:tr>
      <w:tr w:rsidR="00044023" w:rsidRPr="00044023" w14:paraId="44FF7A25" w14:textId="77777777" w:rsidTr="003400A5">
        <w:trPr>
          <w:trHeight w:val="68"/>
        </w:trPr>
        <w:tc>
          <w:tcPr>
            <w:tcW w:w="960" w:type="dxa"/>
            <w:tcBorders>
              <w:top w:val="nil"/>
              <w:left w:val="nil"/>
              <w:bottom w:val="nil"/>
              <w:right w:val="nil"/>
            </w:tcBorders>
            <w:shd w:val="clear" w:color="auto" w:fill="auto"/>
            <w:noWrap/>
            <w:vAlign w:val="bottom"/>
            <w:hideMark/>
          </w:tcPr>
          <w:p w14:paraId="0351E83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2009</w:t>
            </w:r>
          </w:p>
        </w:tc>
        <w:tc>
          <w:tcPr>
            <w:tcW w:w="724" w:type="dxa"/>
            <w:tcBorders>
              <w:top w:val="nil"/>
              <w:left w:val="single" w:sz="4" w:space="0" w:color="auto"/>
              <w:bottom w:val="nil"/>
              <w:right w:val="nil"/>
            </w:tcBorders>
            <w:shd w:val="clear" w:color="auto" w:fill="auto"/>
            <w:noWrap/>
            <w:vAlign w:val="bottom"/>
            <w:hideMark/>
          </w:tcPr>
          <w:p w14:paraId="7846AE1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4A92A5D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F0298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7506E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296282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55902DF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7408B5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222D757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2760</w:t>
            </w:r>
          </w:p>
        </w:tc>
      </w:tr>
      <w:tr w:rsidR="00044023" w:rsidRPr="00044023" w14:paraId="78543D82" w14:textId="77777777" w:rsidTr="00044023">
        <w:trPr>
          <w:trHeight w:val="205"/>
        </w:trPr>
        <w:tc>
          <w:tcPr>
            <w:tcW w:w="960" w:type="dxa"/>
            <w:tcBorders>
              <w:top w:val="nil"/>
              <w:left w:val="nil"/>
              <w:bottom w:val="nil"/>
              <w:right w:val="nil"/>
            </w:tcBorders>
            <w:shd w:val="clear" w:color="auto" w:fill="auto"/>
            <w:noWrap/>
            <w:vAlign w:val="bottom"/>
            <w:hideMark/>
          </w:tcPr>
          <w:p w14:paraId="17FDAE3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2010</w:t>
            </w:r>
          </w:p>
        </w:tc>
        <w:tc>
          <w:tcPr>
            <w:tcW w:w="724" w:type="dxa"/>
            <w:tcBorders>
              <w:top w:val="nil"/>
              <w:left w:val="single" w:sz="4" w:space="0" w:color="auto"/>
              <w:bottom w:val="nil"/>
              <w:right w:val="nil"/>
            </w:tcBorders>
            <w:shd w:val="clear" w:color="auto" w:fill="auto"/>
            <w:noWrap/>
            <w:vAlign w:val="bottom"/>
            <w:hideMark/>
          </w:tcPr>
          <w:p w14:paraId="7A11467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03C98FA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6698277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762F1CD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0871E2F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41D9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4EE9927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5</w:t>
            </w:r>
          </w:p>
        </w:tc>
        <w:tc>
          <w:tcPr>
            <w:tcW w:w="1340" w:type="dxa"/>
            <w:tcBorders>
              <w:top w:val="nil"/>
              <w:left w:val="nil"/>
              <w:bottom w:val="nil"/>
              <w:right w:val="nil"/>
            </w:tcBorders>
            <w:shd w:val="clear" w:color="auto" w:fill="auto"/>
            <w:noWrap/>
            <w:vAlign w:val="bottom"/>
            <w:hideMark/>
          </w:tcPr>
          <w:p w14:paraId="71A5950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2765</w:t>
            </w:r>
          </w:p>
        </w:tc>
      </w:tr>
      <w:tr w:rsidR="00044023" w:rsidRPr="00044023" w14:paraId="18516383" w14:textId="77777777" w:rsidTr="00044023">
        <w:trPr>
          <w:trHeight w:val="196"/>
        </w:trPr>
        <w:tc>
          <w:tcPr>
            <w:tcW w:w="960" w:type="dxa"/>
            <w:tcBorders>
              <w:top w:val="nil"/>
              <w:left w:val="nil"/>
              <w:bottom w:val="nil"/>
              <w:right w:val="nil"/>
            </w:tcBorders>
            <w:shd w:val="clear" w:color="auto" w:fill="auto"/>
            <w:noWrap/>
            <w:vAlign w:val="bottom"/>
            <w:hideMark/>
          </w:tcPr>
          <w:p w14:paraId="52C8952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2011</w:t>
            </w:r>
          </w:p>
        </w:tc>
        <w:tc>
          <w:tcPr>
            <w:tcW w:w="724" w:type="dxa"/>
            <w:tcBorders>
              <w:top w:val="nil"/>
              <w:left w:val="single" w:sz="4" w:space="0" w:color="auto"/>
              <w:bottom w:val="nil"/>
              <w:right w:val="nil"/>
            </w:tcBorders>
            <w:shd w:val="clear" w:color="auto" w:fill="auto"/>
            <w:noWrap/>
            <w:vAlign w:val="bottom"/>
            <w:hideMark/>
          </w:tcPr>
          <w:p w14:paraId="740E7C1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6ABB5B6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0AEE26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0313F2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3C51511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16A03AC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1BFC3F03"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70A119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2769</w:t>
            </w:r>
          </w:p>
        </w:tc>
      </w:tr>
      <w:tr w:rsidR="00044023" w:rsidRPr="00044023" w14:paraId="17DEFF2B" w14:textId="77777777" w:rsidTr="00044023">
        <w:trPr>
          <w:trHeight w:val="185"/>
        </w:trPr>
        <w:tc>
          <w:tcPr>
            <w:tcW w:w="960" w:type="dxa"/>
            <w:tcBorders>
              <w:top w:val="nil"/>
              <w:left w:val="nil"/>
              <w:bottom w:val="nil"/>
              <w:right w:val="nil"/>
            </w:tcBorders>
            <w:shd w:val="clear" w:color="auto" w:fill="auto"/>
            <w:noWrap/>
            <w:vAlign w:val="bottom"/>
            <w:hideMark/>
          </w:tcPr>
          <w:p w14:paraId="05635F0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2012</w:t>
            </w:r>
          </w:p>
        </w:tc>
        <w:tc>
          <w:tcPr>
            <w:tcW w:w="724" w:type="dxa"/>
            <w:tcBorders>
              <w:top w:val="nil"/>
              <w:left w:val="single" w:sz="4" w:space="0" w:color="auto"/>
              <w:bottom w:val="nil"/>
              <w:right w:val="nil"/>
            </w:tcBorders>
            <w:shd w:val="clear" w:color="auto" w:fill="auto"/>
            <w:noWrap/>
            <w:vAlign w:val="bottom"/>
            <w:hideMark/>
          </w:tcPr>
          <w:p w14:paraId="5041392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nil"/>
              <w:right w:val="nil"/>
            </w:tcBorders>
            <w:shd w:val="clear" w:color="auto" w:fill="auto"/>
            <w:noWrap/>
            <w:vAlign w:val="bottom"/>
            <w:hideMark/>
          </w:tcPr>
          <w:p w14:paraId="7139798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44F9433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nil"/>
              <w:right w:val="nil"/>
            </w:tcBorders>
            <w:shd w:val="clear" w:color="auto" w:fill="auto"/>
            <w:noWrap/>
            <w:vAlign w:val="bottom"/>
            <w:hideMark/>
          </w:tcPr>
          <w:p w14:paraId="29951802"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nil"/>
            </w:tcBorders>
            <w:shd w:val="clear" w:color="auto" w:fill="auto"/>
            <w:noWrap/>
            <w:vAlign w:val="bottom"/>
            <w:hideMark/>
          </w:tcPr>
          <w:p w14:paraId="57C6DBF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nil"/>
              <w:right w:val="single" w:sz="4" w:space="0" w:color="auto"/>
            </w:tcBorders>
            <w:shd w:val="clear" w:color="auto" w:fill="auto"/>
            <w:noWrap/>
            <w:vAlign w:val="bottom"/>
            <w:hideMark/>
          </w:tcPr>
          <w:p w14:paraId="02F096E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nil"/>
              <w:right w:val="nil"/>
            </w:tcBorders>
            <w:shd w:val="clear" w:color="auto" w:fill="auto"/>
            <w:noWrap/>
            <w:vAlign w:val="bottom"/>
            <w:hideMark/>
          </w:tcPr>
          <w:p w14:paraId="62D8DF8C"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4</w:t>
            </w:r>
          </w:p>
        </w:tc>
        <w:tc>
          <w:tcPr>
            <w:tcW w:w="1340" w:type="dxa"/>
            <w:tcBorders>
              <w:top w:val="nil"/>
              <w:left w:val="nil"/>
              <w:bottom w:val="nil"/>
              <w:right w:val="nil"/>
            </w:tcBorders>
            <w:shd w:val="clear" w:color="auto" w:fill="auto"/>
            <w:noWrap/>
            <w:vAlign w:val="bottom"/>
            <w:hideMark/>
          </w:tcPr>
          <w:p w14:paraId="3504E55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2773</w:t>
            </w:r>
          </w:p>
        </w:tc>
      </w:tr>
      <w:tr w:rsidR="00044023" w:rsidRPr="00044023" w14:paraId="1985D497" w14:textId="77777777" w:rsidTr="00044023">
        <w:trPr>
          <w:trHeight w:val="76"/>
        </w:trPr>
        <w:tc>
          <w:tcPr>
            <w:tcW w:w="960" w:type="dxa"/>
            <w:tcBorders>
              <w:top w:val="nil"/>
              <w:left w:val="nil"/>
              <w:bottom w:val="single" w:sz="4" w:space="0" w:color="auto"/>
              <w:right w:val="nil"/>
            </w:tcBorders>
            <w:shd w:val="clear" w:color="auto" w:fill="auto"/>
            <w:noWrap/>
            <w:vAlign w:val="bottom"/>
            <w:hideMark/>
          </w:tcPr>
          <w:p w14:paraId="60EFCFD0"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2013</w:t>
            </w:r>
          </w:p>
        </w:tc>
        <w:tc>
          <w:tcPr>
            <w:tcW w:w="724" w:type="dxa"/>
            <w:tcBorders>
              <w:top w:val="nil"/>
              <w:left w:val="single" w:sz="4" w:space="0" w:color="auto"/>
              <w:bottom w:val="single" w:sz="4" w:space="0" w:color="auto"/>
              <w:right w:val="nil"/>
            </w:tcBorders>
            <w:shd w:val="clear" w:color="auto" w:fill="auto"/>
            <w:noWrap/>
            <w:vAlign w:val="bottom"/>
            <w:hideMark/>
          </w:tcPr>
          <w:p w14:paraId="6B044B6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4" w:type="dxa"/>
            <w:tcBorders>
              <w:top w:val="nil"/>
              <w:left w:val="nil"/>
              <w:bottom w:val="single" w:sz="4" w:space="0" w:color="auto"/>
              <w:right w:val="nil"/>
            </w:tcBorders>
            <w:shd w:val="clear" w:color="auto" w:fill="auto"/>
            <w:noWrap/>
            <w:vAlign w:val="bottom"/>
            <w:hideMark/>
          </w:tcPr>
          <w:p w14:paraId="1ECEB83E"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723" w:type="dxa"/>
            <w:tcBorders>
              <w:top w:val="nil"/>
              <w:left w:val="nil"/>
              <w:bottom w:val="single" w:sz="4" w:space="0" w:color="auto"/>
              <w:right w:val="nil"/>
            </w:tcBorders>
            <w:shd w:val="clear" w:color="auto" w:fill="auto"/>
            <w:noWrap/>
            <w:vAlign w:val="bottom"/>
            <w:hideMark/>
          </w:tcPr>
          <w:p w14:paraId="7B7EF0F8"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4FEF611D"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nil"/>
            </w:tcBorders>
            <w:shd w:val="clear" w:color="auto" w:fill="auto"/>
            <w:noWrap/>
            <w:vAlign w:val="bottom"/>
            <w:hideMark/>
          </w:tcPr>
          <w:p w14:paraId="2D6D7BAA"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0</w:t>
            </w:r>
          </w:p>
        </w:tc>
        <w:tc>
          <w:tcPr>
            <w:tcW w:w="723" w:type="dxa"/>
            <w:tcBorders>
              <w:top w:val="nil"/>
              <w:left w:val="nil"/>
              <w:bottom w:val="single" w:sz="4" w:space="0" w:color="auto"/>
              <w:right w:val="single" w:sz="4" w:space="0" w:color="auto"/>
            </w:tcBorders>
            <w:shd w:val="clear" w:color="auto" w:fill="auto"/>
            <w:noWrap/>
            <w:vAlign w:val="bottom"/>
            <w:hideMark/>
          </w:tcPr>
          <w:p w14:paraId="5C2DF25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1</w:t>
            </w:r>
          </w:p>
        </w:tc>
        <w:tc>
          <w:tcPr>
            <w:tcW w:w="680" w:type="dxa"/>
            <w:tcBorders>
              <w:top w:val="nil"/>
              <w:left w:val="nil"/>
              <w:bottom w:val="single" w:sz="4" w:space="0" w:color="auto"/>
              <w:right w:val="nil"/>
            </w:tcBorders>
            <w:shd w:val="clear" w:color="auto" w:fill="auto"/>
            <w:noWrap/>
            <w:vAlign w:val="bottom"/>
            <w:hideMark/>
          </w:tcPr>
          <w:p w14:paraId="69B6B551"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w:t>
            </w:r>
          </w:p>
        </w:tc>
        <w:tc>
          <w:tcPr>
            <w:tcW w:w="1340" w:type="dxa"/>
            <w:tcBorders>
              <w:top w:val="nil"/>
              <w:left w:val="nil"/>
              <w:bottom w:val="single" w:sz="4" w:space="0" w:color="auto"/>
              <w:right w:val="nil"/>
            </w:tcBorders>
            <w:shd w:val="clear" w:color="auto" w:fill="auto"/>
            <w:noWrap/>
            <w:vAlign w:val="bottom"/>
            <w:hideMark/>
          </w:tcPr>
          <w:p w14:paraId="2156C9BB"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r>
      <w:tr w:rsidR="00044023" w:rsidRPr="00044023" w14:paraId="697164D8" w14:textId="77777777" w:rsidTr="00044023">
        <w:trPr>
          <w:trHeight w:val="288"/>
        </w:trPr>
        <w:tc>
          <w:tcPr>
            <w:tcW w:w="960" w:type="dxa"/>
            <w:tcBorders>
              <w:top w:val="nil"/>
              <w:left w:val="nil"/>
              <w:bottom w:val="nil"/>
              <w:right w:val="nil"/>
            </w:tcBorders>
            <w:shd w:val="clear" w:color="auto" w:fill="auto"/>
            <w:noWrap/>
            <w:vAlign w:val="bottom"/>
            <w:hideMark/>
          </w:tcPr>
          <w:p w14:paraId="3E396D89" w14:textId="77777777" w:rsidR="00044023" w:rsidRPr="00044023" w:rsidRDefault="00044023" w:rsidP="00044023">
            <w:pPr>
              <w:spacing w:after="0" w:line="240" w:lineRule="auto"/>
              <w:jc w:val="right"/>
              <w:rPr>
                <w:rFonts w:ascii="Calibri" w:eastAsia="Times New Roman" w:hAnsi="Calibri" w:cs="Times New Roman"/>
                <w:b/>
                <w:bCs/>
                <w:color w:val="000000"/>
                <w:sz w:val="20"/>
                <w:lang w:eastAsia="en-GB"/>
              </w:rPr>
            </w:pPr>
            <w:r w:rsidRPr="00044023">
              <w:rPr>
                <w:rFonts w:ascii="Calibri" w:eastAsia="Times New Roman" w:hAnsi="Calibri" w:cs="Times New Roman"/>
                <w:b/>
                <w:bCs/>
                <w:color w:val="000000"/>
                <w:sz w:val="20"/>
                <w:lang w:eastAsia="en-GB"/>
              </w:rPr>
              <w:t>Total</w:t>
            </w:r>
          </w:p>
        </w:tc>
        <w:tc>
          <w:tcPr>
            <w:tcW w:w="724" w:type="dxa"/>
            <w:tcBorders>
              <w:top w:val="nil"/>
              <w:left w:val="single" w:sz="4" w:space="0" w:color="auto"/>
              <w:bottom w:val="nil"/>
              <w:right w:val="nil"/>
            </w:tcBorders>
            <w:shd w:val="clear" w:color="auto" w:fill="auto"/>
            <w:noWrap/>
            <w:vAlign w:val="bottom"/>
            <w:hideMark/>
          </w:tcPr>
          <w:p w14:paraId="3C2C01F4"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816</w:t>
            </w:r>
          </w:p>
        </w:tc>
        <w:tc>
          <w:tcPr>
            <w:tcW w:w="724" w:type="dxa"/>
            <w:tcBorders>
              <w:top w:val="nil"/>
              <w:left w:val="nil"/>
              <w:bottom w:val="nil"/>
              <w:right w:val="nil"/>
            </w:tcBorders>
            <w:shd w:val="clear" w:color="auto" w:fill="auto"/>
            <w:noWrap/>
            <w:vAlign w:val="bottom"/>
            <w:hideMark/>
          </w:tcPr>
          <w:p w14:paraId="7F53B7AB"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654</w:t>
            </w:r>
          </w:p>
        </w:tc>
        <w:tc>
          <w:tcPr>
            <w:tcW w:w="723" w:type="dxa"/>
            <w:tcBorders>
              <w:top w:val="nil"/>
              <w:left w:val="nil"/>
              <w:bottom w:val="nil"/>
              <w:right w:val="nil"/>
            </w:tcBorders>
            <w:shd w:val="clear" w:color="auto" w:fill="auto"/>
            <w:noWrap/>
            <w:vAlign w:val="bottom"/>
            <w:hideMark/>
          </w:tcPr>
          <w:p w14:paraId="49BA06A5"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388</w:t>
            </w:r>
          </w:p>
        </w:tc>
        <w:tc>
          <w:tcPr>
            <w:tcW w:w="723" w:type="dxa"/>
            <w:tcBorders>
              <w:top w:val="nil"/>
              <w:left w:val="nil"/>
              <w:bottom w:val="nil"/>
              <w:right w:val="nil"/>
            </w:tcBorders>
            <w:shd w:val="clear" w:color="auto" w:fill="auto"/>
            <w:noWrap/>
            <w:vAlign w:val="bottom"/>
            <w:hideMark/>
          </w:tcPr>
          <w:p w14:paraId="009DB499"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313</w:t>
            </w:r>
          </w:p>
        </w:tc>
        <w:tc>
          <w:tcPr>
            <w:tcW w:w="723" w:type="dxa"/>
            <w:tcBorders>
              <w:top w:val="nil"/>
              <w:left w:val="nil"/>
              <w:bottom w:val="nil"/>
              <w:right w:val="nil"/>
            </w:tcBorders>
            <w:shd w:val="clear" w:color="auto" w:fill="auto"/>
            <w:noWrap/>
            <w:vAlign w:val="bottom"/>
            <w:hideMark/>
          </w:tcPr>
          <w:p w14:paraId="3D25FE17"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208</w:t>
            </w:r>
          </w:p>
        </w:tc>
        <w:tc>
          <w:tcPr>
            <w:tcW w:w="723" w:type="dxa"/>
            <w:tcBorders>
              <w:top w:val="nil"/>
              <w:left w:val="nil"/>
              <w:bottom w:val="nil"/>
              <w:right w:val="single" w:sz="4" w:space="0" w:color="auto"/>
            </w:tcBorders>
            <w:shd w:val="clear" w:color="auto" w:fill="auto"/>
            <w:noWrap/>
            <w:vAlign w:val="bottom"/>
            <w:hideMark/>
          </w:tcPr>
          <w:p w14:paraId="75918E26" w14:textId="77777777" w:rsidR="00044023" w:rsidRPr="00044023" w:rsidRDefault="00044023" w:rsidP="00044023">
            <w:pPr>
              <w:spacing w:after="0" w:line="240" w:lineRule="auto"/>
              <w:jc w:val="right"/>
              <w:rPr>
                <w:rFonts w:ascii="Calibri" w:eastAsia="Times New Roman" w:hAnsi="Calibri" w:cs="Times New Roman"/>
                <w:color w:val="000000"/>
                <w:sz w:val="20"/>
                <w:lang w:eastAsia="en-GB"/>
              </w:rPr>
            </w:pPr>
            <w:r w:rsidRPr="00044023">
              <w:rPr>
                <w:rFonts w:ascii="Calibri" w:eastAsia="Times New Roman" w:hAnsi="Calibri" w:cs="Times New Roman"/>
                <w:color w:val="000000"/>
                <w:sz w:val="20"/>
                <w:lang w:eastAsia="en-GB"/>
              </w:rPr>
              <w:t>395</w:t>
            </w:r>
          </w:p>
        </w:tc>
        <w:tc>
          <w:tcPr>
            <w:tcW w:w="680" w:type="dxa"/>
            <w:tcBorders>
              <w:top w:val="nil"/>
              <w:left w:val="nil"/>
              <w:bottom w:val="nil"/>
              <w:right w:val="nil"/>
            </w:tcBorders>
            <w:shd w:val="clear" w:color="auto" w:fill="auto"/>
            <w:noWrap/>
            <w:vAlign w:val="bottom"/>
            <w:hideMark/>
          </w:tcPr>
          <w:p w14:paraId="6C072C48" w14:textId="77777777" w:rsidR="00044023" w:rsidRPr="00044023" w:rsidRDefault="00044023" w:rsidP="00044023">
            <w:pPr>
              <w:spacing w:after="0" w:line="240" w:lineRule="auto"/>
              <w:jc w:val="right"/>
              <w:rPr>
                <w:rFonts w:ascii="Calibri" w:eastAsia="Times New Roman" w:hAnsi="Calibri" w:cs="Times New Roman"/>
                <w:b/>
                <w:bCs/>
                <w:color w:val="000000"/>
                <w:sz w:val="20"/>
                <w:u w:val="single"/>
                <w:lang w:eastAsia="en-GB"/>
              </w:rPr>
            </w:pPr>
            <w:r w:rsidRPr="00044023">
              <w:rPr>
                <w:rFonts w:ascii="Calibri" w:eastAsia="Times New Roman" w:hAnsi="Calibri" w:cs="Times New Roman"/>
                <w:b/>
                <w:bCs/>
                <w:color w:val="000000"/>
                <w:sz w:val="20"/>
                <w:u w:val="single"/>
                <w:lang w:eastAsia="en-GB"/>
              </w:rPr>
              <w:t>2776</w:t>
            </w:r>
          </w:p>
        </w:tc>
        <w:tc>
          <w:tcPr>
            <w:tcW w:w="1340" w:type="dxa"/>
            <w:tcBorders>
              <w:top w:val="nil"/>
              <w:left w:val="nil"/>
              <w:bottom w:val="nil"/>
              <w:right w:val="nil"/>
            </w:tcBorders>
            <w:shd w:val="clear" w:color="auto" w:fill="auto"/>
            <w:noWrap/>
            <w:vAlign w:val="bottom"/>
            <w:hideMark/>
          </w:tcPr>
          <w:p w14:paraId="6A3AB652" w14:textId="77777777" w:rsidR="00044023" w:rsidRPr="00044023" w:rsidRDefault="00044023" w:rsidP="003400A5">
            <w:pPr>
              <w:keepNext/>
              <w:spacing w:after="0" w:line="240" w:lineRule="auto"/>
              <w:jc w:val="right"/>
              <w:rPr>
                <w:rFonts w:ascii="Calibri" w:eastAsia="Times New Roman" w:hAnsi="Calibri" w:cs="Times New Roman"/>
                <w:b/>
                <w:bCs/>
                <w:color w:val="000000"/>
                <w:sz w:val="20"/>
                <w:u w:val="single"/>
                <w:lang w:eastAsia="en-GB"/>
              </w:rPr>
            </w:pPr>
          </w:p>
        </w:tc>
      </w:tr>
    </w:tbl>
    <w:p w14:paraId="6E6B1483" w14:textId="77777777" w:rsidR="0046718C" w:rsidRDefault="0046718C" w:rsidP="0046718C">
      <w:pPr>
        <w:spacing w:line="480" w:lineRule="auto"/>
        <w:jc w:val="center"/>
        <w:rPr>
          <w:b/>
        </w:rPr>
      </w:pPr>
    </w:p>
    <w:p w14:paraId="78ADC5DE" w14:textId="362974DB" w:rsidR="003400A5" w:rsidRPr="0046718C" w:rsidRDefault="003400A5" w:rsidP="0046718C">
      <w:pPr>
        <w:spacing w:line="480" w:lineRule="auto"/>
        <w:jc w:val="center"/>
        <w:rPr>
          <w:b/>
        </w:rPr>
      </w:pPr>
      <w:r w:rsidRPr="0046718C">
        <w:rPr>
          <w:b/>
        </w:rPr>
        <w:t xml:space="preserve">Table </w:t>
      </w:r>
      <w:r w:rsidR="00D45E71">
        <w:rPr>
          <w:b/>
          <w:noProof/>
        </w:rPr>
        <w:t>1</w:t>
      </w:r>
      <w:r w:rsidRPr="0046718C">
        <w:rPr>
          <w:b/>
        </w:rPr>
        <w:t xml:space="preserve"> Model estimates of numbers of Troubles-attributable deaths in males in Northern Ireland by year and age group</w:t>
      </w:r>
    </w:p>
    <w:p w14:paraId="7B8E3914" w14:textId="21F447E5" w:rsidR="00044023" w:rsidRDefault="00044023">
      <w:r>
        <w:br w:type="page"/>
      </w:r>
    </w:p>
    <w:p w14:paraId="18A4B86F" w14:textId="624C67B6" w:rsidR="00F1537E" w:rsidRPr="00C94CE9" w:rsidRDefault="00F1537E" w:rsidP="000B02C5">
      <w:pPr>
        <w:pStyle w:val="Heading2"/>
        <w:spacing w:line="480" w:lineRule="auto"/>
        <w:rPr>
          <w:color w:val="auto"/>
        </w:rPr>
      </w:pPr>
      <w:r w:rsidRPr="00C94CE9">
        <w:rPr>
          <w:color w:val="auto"/>
        </w:rPr>
        <w:lastRenderedPageBreak/>
        <w:t xml:space="preserve">Discussion </w:t>
      </w:r>
    </w:p>
    <w:p w14:paraId="6A8BB0EF" w14:textId="56175F17" w:rsidR="001B7B4E" w:rsidRPr="000B02C5" w:rsidRDefault="001B7B4E" w:rsidP="000B02C5">
      <w:pPr>
        <w:pStyle w:val="Heading3"/>
        <w:spacing w:line="480" w:lineRule="auto"/>
        <w:rPr>
          <w:color w:val="auto"/>
        </w:rPr>
      </w:pPr>
      <w:r w:rsidRPr="000B02C5">
        <w:rPr>
          <w:color w:val="auto"/>
        </w:rPr>
        <w:t>Comparison of mortality estimates</w:t>
      </w:r>
    </w:p>
    <w:p w14:paraId="5C036B83" w14:textId="5525FD4C" w:rsidR="006E3FB2" w:rsidRPr="000B02C5" w:rsidRDefault="00F119C2" w:rsidP="000B02C5">
      <w:pPr>
        <w:spacing w:line="480" w:lineRule="auto"/>
      </w:pPr>
      <w:r w:rsidRPr="000B02C5">
        <w:rPr>
          <w:noProof/>
        </w:rPr>
        <w:t>(Smyth, 1998)</w:t>
      </w:r>
      <w:r w:rsidRPr="000B02C5">
        <w:t xml:space="preserve"> estimated a total of 3598 deaths were attributed killings in the conflict between 1969 and 1998</w:t>
      </w:r>
      <w:r w:rsidR="000D3EC9" w:rsidRPr="000B02C5">
        <w:t>; this compares with 26</w:t>
      </w:r>
      <w:r w:rsidR="006E3FB2" w:rsidRPr="000B02C5">
        <w:t>61</w:t>
      </w:r>
      <w:r w:rsidR="000D3EC9" w:rsidRPr="000B02C5">
        <w:t xml:space="preserve"> estimated in our model between 1969 and 1998 in younger adult males in Northern Ireland</w:t>
      </w:r>
      <w:r w:rsidR="0041727A" w:rsidRPr="000B02C5">
        <w:t xml:space="preserve"> only</w:t>
      </w:r>
      <w:r w:rsidRPr="000B02C5">
        <w:t xml:space="preserve">. </w:t>
      </w:r>
      <w:r w:rsidR="008D1A01" w:rsidRPr="000B02C5">
        <w:t xml:space="preserve">Other total mortality estimates for the Troubles tend to be similar, with </w:t>
      </w:r>
      <w:r w:rsidR="008D1A01" w:rsidRPr="000B02C5">
        <w:rPr>
          <w:noProof/>
        </w:rPr>
        <w:t>(McDowell, 2008)</w:t>
      </w:r>
      <w:r w:rsidR="008D1A01" w:rsidRPr="000B02C5">
        <w:t xml:space="preserve"> estimating slightly under 3700 deaths, and </w:t>
      </w:r>
      <w:r w:rsidR="008D1A01" w:rsidRPr="000B02C5">
        <w:rPr>
          <w:noProof/>
        </w:rPr>
        <w:t>(Curran, 2001)</w:t>
      </w:r>
      <w:r w:rsidR="008D1A01" w:rsidRPr="000B02C5">
        <w:t xml:space="preserve"> estimating 3740 additional deaths between 1969 and 1999 (compared with our estimate of 2675 between 1972 and 1999).</w:t>
      </w:r>
      <w:r w:rsidR="00146D0F">
        <w:t xml:space="preserve"> </w:t>
      </w:r>
      <w:r w:rsidR="000D3EC9" w:rsidRPr="000B02C5">
        <w:rPr>
          <w:noProof/>
        </w:rPr>
        <w:t>(Smyth, 1998)</w:t>
      </w:r>
      <w:r w:rsidR="000D3EC9" w:rsidRPr="000B02C5">
        <w:t xml:space="preserve"> </w:t>
      </w:r>
      <w:r w:rsidR="00146D0F">
        <w:t xml:space="preserve">also </w:t>
      </w:r>
      <w:r w:rsidR="000D3EC9" w:rsidRPr="000B02C5">
        <w:t xml:space="preserve">found that a disproportionate share of deaths occurred in young adults, with a quarter occurring in people aged 18-23 years, and attributable deaths then falling at older ages. </w:t>
      </w:r>
      <w:r w:rsidR="009140E4">
        <w:t>We found</w:t>
      </w:r>
      <w:r w:rsidR="000D3EC9" w:rsidRPr="000B02C5">
        <w:t xml:space="preserve"> a qualitatively similar pattern of mortality burden by age, though </w:t>
      </w:r>
      <w:r w:rsidR="009140E4">
        <w:t xml:space="preserve">with </w:t>
      </w:r>
      <w:r w:rsidR="000D3EC9" w:rsidRPr="000B02C5">
        <w:t xml:space="preserve">an even greater share in 18-23 age group, with 1053 deaths out of 2776, or 38% of all deaths, estimated. </w:t>
      </w:r>
    </w:p>
    <w:p w14:paraId="628C4639" w14:textId="065E32E1" w:rsidR="00045603" w:rsidRPr="000B02C5" w:rsidRDefault="006E3FB2" w:rsidP="000B02C5">
      <w:pPr>
        <w:spacing w:line="480" w:lineRule="auto"/>
      </w:pPr>
      <w:r w:rsidRPr="000B02C5">
        <w:t>Our model</w:t>
      </w:r>
      <w:r w:rsidR="009140E4">
        <w:t>,</w:t>
      </w:r>
      <w:r w:rsidRPr="000B02C5">
        <w:t xml:space="preserve"> based only on all-cause mortality data, </w:t>
      </w:r>
      <w:r w:rsidR="00045603" w:rsidRPr="000B02C5">
        <w:t xml:space="preserve">estimates around three quarters of the deaths that actually occurred, suggesting that the </w:t>
      </w:r>
      <w:r w:rsidR="009140E4">
        <w:t xml:space="preserve">key </w:t>
      </w:r>
      <w:r w:rsidR="00045603" w:rsidRPr="000B02C5">
        <w:t xml:space="preserve">modelling assumption - an initiation event leading to the sudden onset of a conflict whose intensity only slowly decays over many years – captures something of the essence of what occurred in Northern Ireland. </w:t>
      </w:r>
    </w:p>
    <w:p w14:paraId="3B8E2F0F" w14:textId="69156E1F" w:rsidR="006E3FB2" w:rsidRDefault="00045603" w:rsidP="000B02C5">
      <w:pPr>
        <w:spacing w:line="480" w:lineRule="auto"/>
      </w:pPr>
      <w:r w:rsidRPr="000B02C5">
        <w:t xml:space="preserve">There may be </w:t>
      </w:r>
      <w:r w:rsidR="00EB4CAE">
        <w:t xml:space="preserve">a number of </w:t>
      </w:r>
      <w:r w:rsidRPr="000B02C5">
        <w:t xml:space="preserve">reasons why our estimates are below </w:t>
      </w:r>
      <w:r w:rsidR="00563F5E" w:rsidRPr="000B02C5">
        <w:t>death counts directly attributed to political violence</w:t>
      </w:r>
      <w:r w:rsidRPr="000B02C5">
        <w:t xml:space="preserve">, in addition to our use of a more restrictive demographic group. Firstly, we did not explicitly model to include the particularly high spike of deaths in 1973. Secondly, adult males </w:t>
      </w:r>
      <w:r w:rsidR="001E1856" w:rsidRPr="000B02C5">
        <w:t>experience a</w:t>
      </w:r>
      <w:r w:rsidR="0041727A" w:rsidRPr="000B02C5">
        <w:t xml:space="preserve">n </w:t>
      </w:r>
      <w:r w:rsidR="001E1856" w:rsidRPr="000B02C5">
        <w:t>increase mortality once they reach adulthood, and young adult male mortality displacement effect</w:t>
      </w:r>
      <w:r w:rsidR="0041727A" w:rsidRPr="000B02C5">
        <w:t>s</w:t>
      </w:r>
      <w:r w:rsidR="001E1856" w:rsidRPr="000B02C5">
        <w:t xml:space="preserve"> </w:t>
      </w:r>
      <w:r w:rsidR="0041727A" w:rsidRPr="000B02C5">
        <w:t xml:space="preserve">may </w:t>
      </w:r>
      <w:r w:rsidR="001E1856" w:rsidRPr="000B02C5">
        <w:t>occurred in Northern Ireland after the Troubles</w:t>
      </w:r>
      <w:r w:rsidR="0041727A" w:rsidRPr="000B02C5">
        <w:t xml:space="preserve"> began</w:t>
      </w:r>
      <w:r w:rsidR="001E1856" w:rsidRPr="000B02C5">
        <w:t>. For example</w:t>
      </w:r>
      <w:r w:rsidR="005223FE" w:rsidRPr="000B02C5">
        <w:t xml:space="preserve"> rates of homicide risk and suicide risk tend to be inversely correlated, and that both disproportionately affect younger adult males. </w:t>
      </w:r>
      <w:r w:rsidR="005223FE" w:rsidRPr="000B02C5">
        <w:rPr>
          <w:noProof/>
        </w:rPr>
        <w:t>(Curran, 2001; Durkheim, 1951; Lester, 2002)</w:t>
      </w:r>
      <w:r w:rsidR="005223FE" w:rsidRPr="000B02C5">
        <w:t xml:space="preserve"> </w:t>
      </w:r>
      <w:r w:rsidR="0041727A" w:rsidRPr="000B02C5">
        <w:t xml:space="preserve">It </w:t>
      </w:r>
      <w:r w:rsidR="005223FE" w:rsidRPr="000B02C5">
        <w:t>may be that the high rates of ‘bonding capital’ within Northern Irish communities, though responsible for the maintenance of sectarian conflict, w</w:t>
      </w:r>
      <w:r w:rsidR="002D4A9D" w:rsidRPr="000B02C5">
        <w:t>ere</w:t>
      </w:r>
      <w:r w:rsidR="005223FE" w:rsidRPr="000B02C5">
        <w:t xml:space="preserve"> also protective against some other forms of mortality risk, such as alcohol and drug-related deaths, that otherwise would have claimed more young adult </w:t>
      </w:r>
      <w:r w:rsidR="005223FE" w:rsidRPr="000B02C5">
        <w:lastRenderedPageBreak/>
        <w:t xml:space="preserve">males. </w:t>
      </w:r>
      <w:r w:rsidR="0041727A" w:rsidRPr="000B02C5">
        <w:rPr>
          <w:noProof/>
        </w:rPr>
        <w:t>(Leonard, 2004)</w:t>
      </w:r>
      <w:r w:rsidR="0041727A" w:rsidRPr="000B02C5">
        <w:t xml:space="preserve"> </w:t>
      </w:r>
      <w:r w:rsidR="005223FE" w:rsidRPr="000B02C5">
        <w:t>In the counterfactual scenario, therefore, it may well have been that</w:t>
      </w:r>
      <w:r w:rsidR="002D4A9D" w:rsidRPr="000B02C5">
        <w:t xml:space="preserve"> some of</w:t>
      </w:r>
      <w:r w:rsidR="005223FE" w:rsidRPr="000B02C5">
        <w:t xml:space="preserve"> those who did not die of sectarian violence instead died of some of these other causes</w:t>
      </w:r>
      <w:r w:rsidR="002D4A9D" w:rsidRPr="000B02C5">
        <w:t>, and so the net deaths ‘caused’ by the conflict may be less than the number of people who died of conflict-related violence</w:t>
      </w:r>
      <w:r w:rsidR="005223FE" w:rsidRPr="000B02C5">
        <w:t xml:space="preserve">. </w:t>
      </w:r>
      <w:r w:rsidR="00EB4CAE">
        <w:t>Another specific example of this may be that fewer people died of vehicle-related deaths if, as expected, travel was more restricted during the peak of the Troubles due to increased police and military presence; exploration of aggregate trends in road traffic deaths may therefore be useful to quantify the size of any such effect on deaths in the affected age groups.</w:t>
      </w:r>
    </w:p>
    <w:p w14:paraId="39EFCC15" w14:textId="0E827E27" w:rsidR="00EB4CAE" w:rsidRDefault="00EB4CAE" w:rsidP="000B02C5">
      <w:pPr>
        <w:spacing w:line="480" w:lineRule="auto"/>
      </w:pPr>
      <w:r>
        <w:t>Thirdly, the Troubles are likely to have led to some net emigration of those most-affected groups, and the</w:t>
      </w:r>
      <w:r w:rsidR="00273CFC">
        <w:t xml:space="preserve"> model may not have been sufficient in accounting for emigration as a ‘competing risk’. Finally, not every death that occurred in a given year may have been attributed accurately to the year in which it occurred, especially if bodies were not found for many years if ever. Again, the effect of adjusting for these factors have not been explored, and further research is encouraged to do so.</w:t>
      </w:r>
    </w:p>
    <w:p w14:paraId="15F34522" w14:textId="030778DA" w:rsidR="00681EE6" w:rsidRDefault="00273CFC" w:rsidP="000B02C5">
      <w:pPr>
        <w:spacing w:line="480" w:lineRule="auto"/>
      </w:pPr>
      <w:r>
        <w:t>One of the aims of this research was to estimate a counter-factual scenario in which the Troubles had not occurred; this was shown in the middle row of figure 5. This counterfactual was model dependent, and relied only on data from Northern Ireland. An alternative approach would be to aim to construct a ‘counterfactual Northern Ireland’ through an appropriately weighted average of mortality trend data from a range of other countries</w:t>
      </w:r>
      <w:r w:rsidR="00681EE6">
        <w:t xml:space="preserve"> identified as otherwise similar to Northern Ireland for the period of comparison, an approach described as the Synthetic Control Method; </w:t>
      </w:r>
      <w:r w:rsidR="00681EE6" w:rsidRPr="00681EE6">
        <w:rPr>
          <w:noProof/>
        </w:rPr>
        <w:t>(Abadie, Diamond, &amp; Hainmueller, 2015)</w:t>
      </w:r>
      <w:r w:rsidR="00681EE6">
        <w:t xml:space="preserve"> once again further research is welcome which uses this and other approaches to counterfactual estimation. </w:t>
      </w:r>
    </w:p>
    <w:p w14:paraId="5078E6F1" w14:textId="37084E8B" w:rsidR="00681EE6" w:rsidRPr="000B02C5" w:rsidRDefault="00681EE6" w:rsidP="000B02C5">
      <w:pPr>
        <w:spacing w:line="480" w:lineRule="auto"/>
      </w:pPr>
      <w:r>
        <w:t xml:space="preserve">It has been suggested that the 1981 Irish Hunger Strike in the Maze prison, in which ten prisoners starved themselves to death, may have led to a renewed increase in violence; this could be tested by comparing the fit of a model specification assuming two distinct spikes in death risk, with the latter in 1981 or 1982, against the specification shown here, and again further research to explore this </w:t>
      </w:r>
      <w:r>
        <w:lastRenderedPageBreak/>
        <w:t>hypothesis is welcome. Finally, the role of cohort effects in mortality risk attributable to conflict has not been explored, and further research could do so.</w:t>
      </w:r>
    </w:p>
    <w:p w14:paraId="59A7CEE5" w14:textId="15B9035B" w:rsidR="001B7B4E" w:rsidRPr="000B02C5" w:rsidRDefault="001B7B4E" w:rsidP="000B02C5">
      <w:pPr>
        <w:pStyle w:val="Heading3"/>
        <w:spacing w:line="480" w:lineRule="auto"/>
        <w:rPr>
          <w:color w:val="auto"/>
        </w:rPr>
      </w:pPr>
      <w:r w:rsidRPr="000B02C5">
        <w:rPr>
          <w:color w:val="auto"/>
        </w:rPr>
        <w:t>Methodological considerations and implications</w:t>
      </w:r>
    </w:p>
    <w:p w14:paraId="12EFC59C" w14:textId="355ABD7D" w:rsidR="005223FE" w:rsidRPr="000B02C5" w:rsidRDefault="0041727A" w:rsidP="000B02C5">
      <w:pPr>
        <w:spacing w:line="480" w:lineRule="auto"/>
      </w:pPr>
      <w:r w:rsidRPr="000B02C5">
        <w:t xml:space="preserve">This </w:t>
      </w:r>
      <w:r w:rsidR="005223FE" w:rsidRPr="000B02C5">
        <w:t xml:space="preserve">research originated through the use of Lexis surface visualisation to compare mortality trends in Scotland against neighbouring populations. </w:t>
      </w:r>
      <w:r w:rsidR="00044023">
        <w:rPr>
          <w:noProof/>
        </w:rPr>
        <w:t>(</w:t>
      </w:r>
      <w:r w:rsidR="0023698D">
        <w:rPr>
          <w:noProof/>
        </w:rPr>
        <w:t xml:space="preserve">AUTHOR, </w:t>
      </w:r>
      <w:r w:rsidR="009140E4" w:rsidRPr="009140E4">
        <w:rPr>
          <w:noProof/>
        </w:rPr>
        <w:t xml:space="preserve"> 2017)</w:t>
      </w:r>
      <w:r w:rsidR="00A96270">
        <w:t xml:space="preserve"> </w:t>
      </w:r>
      <w:r w:rsidR="005223FE" w:rsidRPr="000B02C5">
        <w:t xml:space="preserve">Scotland was compared firstly against the rest of the UK, then against England and Wales, and Northern Ireland separately. </w:t>
      </w:r>
      <w:r w:rsidR="008D1A01" w:rsidRPr="000B02C5">
        <w:t>In this last comparison a</w:t>
      </w:r>
      <w:r w:rsidR="00725DD5" w:rsidRPr="000B02C5">
        <w:t xml:space="preserve"> distinct visual ‘signal’ in Northern Irish male mortality was </w:t>
      </w:r>
      <w:r w:rsidR="008D1A01" w:rsidRPr="000B02C5">
        <w:t xml:space="preserve">identified </w:t>
      </w:r>
      <w:r w:rsidR="00725DD5" w:rsidRPr="000B02C5">
        <w:t xml:space="preserve">after 1972 mortality risks in </w:t>
      </w:r>
      <w:r w:rsidR="008D1A01" w:rsidRPr="000B02C5">
        <w:t xml:space="preserve">in that Scottish young adult male mortality rates, which generally lag Northern Ireland’s, suddenly looked better in comparison, whereas female rates did not. Northern Irish </w:t>
      </w:r>
      <w:r w:rsidR="00A96270">
        <w:t xml:space="preserve">young adult </w:t>
      </w:r>
      <w:r w:rsidR="008D1A01" w:rsidRPr="000B02C5">
        <w:t xml:space="preserve">male mortality was </w:t>
      </w:r>
      <w:r w:rsidR="00A96270">
        <w:t xml:space="preserve">worse during the peak of the Troubles </w:t>
      </w:r>
      <w:r w:rsidR="008D1A01" w:rsidRPr="000B02C5">
        <w:t>worse than in Eastern Europe</w:t>
      </w:r>
      <w:r w:rsidR="00725DD5" w:rsidRPr="000B02C5">
        <w:t xml:space="preserve">. The incidental and accidental origins of this paper therefore highlight the value to us of the data visualisation approaches employed, and of what Robert K Merton called ‘theories of the middle range’, of </w:t>
      </w:r>
      <w:r w:rsidR="00A96270">
        <w:t>allowing</w:t>
      </w:r>
      <w:r w:rsidR="00725DD5" w:rsidRPr="000B02C5">
        <w:t xml:space="preserve"> social hypotheses </w:t>
      </w:r>
      <w:r w:rsidR="00A96270">
        <w:t xml:space="preserve">to </w:t>
      </w:r>
      <w:r w:rsidR="002D4A9D" w:rsidRPr="000B02C5">
        <w:t>‘</w:t>
      </w:r>
      <w:r w:rsidR="00725DD5" w:rsidRPr="000B02C5">
        <w:t xml:space="preserve">emerge </w:t>
      </w:r>
      <w:r w:rsidR="002D4A9D" w:rsidRPr="000B02C5">
        <w:t xml:space="preserve">upwards’, </w:t>
      </w:r>
      <w:r w:rsidR="00725DD5" w:rsidRPr="000B02C5">
        <w:t xml:space="preserve">inductively or </w:t>
      </w:r>
      <w:proofErr w:type="spellStart"/>
      <w:r w:rsidR="00725DD5" w:rsidRPr="000B02C5">
        <w:t>abductively</w:t>
      </w:r>
      <w:proofErr w:type="spellEnd"/>
      <w:r w:rsidR="00725DD5" w:rsidRPr="000B02C5">
        <w:t xml:space="preserve"> from data exploration, rather than </w:t>
      </w:r>
      <w:r w:rsidR="002D4A9D" w:rsidRPr="000B02C5">
        <w:t xml:space="preserve">simply </w:t>
      </w:r>
      <w:r w:rsidR="00A96270">
        <w:t xml:space="preserve">being </w:t>
      </w:r>
      <w:r w:rsidR="002D4A9D" w:rsidRPr="000B02C5">
        <w:t xml:space="preserve">‘applied downwards’, beginning in canonical social texts, then operationalised and empirically tested in a </w:t>
      </w:r>
      <w:proofErr w:type="spellStart"/>
      <w:r w:rsidR="002D4A9D" w:rsidRPr="000B02C5">
        <w:t>hypothetico</w:t>
      </w:r>
      <w:proofErr w:type="spellEnd"/>
      <w:r w:rsidR="002D4A9D" w:rsidRPr="000B02C5">
        <w:t xml:space="preserve">-deductive fashion. </w:t>
      </w:r>
      <w:r w:rsidR="00A96270" w:rsidRPr="00A96270">
        <w:rPr>
          <w:noProof/>
        </w:rPr>
        <w:t>(Menand, 2009; Merton, 1968)</w:t>
      </w:r>
    </w:p>
    <w:p w14:paraId="1C1B363B" w14:textId="194798C8" w:rsidR="002D4A9D" w:rsidRDefault="00E34348" w:rsidP="000B02C5">
      <w:pPr>
        <w:spacing w:line="480" w:lineRule="auto"/>
      </w:pPr>
      <w:r w:rsidRPr="000B02C5">
        <w:t>The</w:t>
      </w:r>
      <w:r w:rsidR="002D4A9D" w:rsidRPr="000B02C5">
        <w:t xml:space="preserve"> specific model specification, including first an impulse component then an exponential decay, can be used to model particular types of mortality pattern disruption, likely attributable to violence or more general social disorder, even when only relatively limited all-cause mortality data are available, and specific death codes, such as ICD-10 codes</w:t>
      </w:r>
      <w:r w:rsidR="008D1A01" w:rsidRPr="000B02C5">
        <w:t>, are not recorded consistently</w:t>
      </w:r>
      <w:r w:rsidR="002D4A9D" w:rsidRPr="000B02C5">
        <w:t xml:space="preserve">. </w:t>
      </w:r>
      <w:r w:rsidRPr="000B02C5">
        <w:t>This</w:t>
      </w:r>
      <w:r w:rsidR="002D4A9D" w:rsidRPr="000B02C5">
        <w:t xml:space="preserve"> situation is likely to be the case both for less affluent nations in more recent years, as well as for historic demographic data from more affluen</w:t>
      </w:r>
      <w:r w:rsidR="001B7B4E" w:rsidRPr="000B02C5">
        <w:t xml:space="preserve">t data. </w:t>
      </w:r>
      <w:r w:rsidR="00CD5496" w:rsidRPr="000B02C5">
        <w:t>One specific benefit of the modelling approach used here is in allowing conflict-attributable mortality to be compared in terms of both initial inten</w:t>
      </w:r>
      <w:r w:rsidR="00322835" w:rsidRPr="000B02C5">
        <w:t>sity (the height of the initiation</w:t>
      </w:r>
      <w:r w:rsidR="00CD5496" w:rsidRPr="000B02C5">
        <w:t xml:space="preserve"> in the first year) and also duration in terms of decay rates and so conflict half-life. </w:t>
      </w:r>
    </w:p>
    <w:p w14:paraId="57D9D1F1" w14:textId="74936965" w:rsidR="009140E4" w:rsidRPr="000B02C5" w:rsidRDefault="009140E4" w:rsidP="009140E4">
      <w:pPr>
        <w:spacing w:line="480" w:lineRule="auto"/>
      </w:pPr>
      <w:r w:rsidRPr="000B02C5">
        <w:lastRenderedPageBreak/>
        <w:t>The model appears characteristic of a population that was in some senses ‘febrile’ or ‘fissile’ in its response to exogenous social, political and economic events and processes</w:t>
      </w:r>
      <w:r w:rsidR="00A96270">
        <w:t>, and is to some extent consistent with previous attempts to model processes of violence as complex systems involving either systems of nonlinear equations or agent-based models</w:t>
      </w:r>
      <w:r w:rsidRPr="000B02C5">
        <w:t xml:space="preserve">. </w:t>
      </w:r>
      <w:r w:rsidR="00A96270" w:rsidRPr="000B02C5">
        <w:rPr>
          <w:noProof/>
        </w:rPr>
        <w:t>(Wright, 2006)</w:t>
      </w:r>
      <w:r w:rsidR="004436DF" w:rsidRPr="004436DF">
        <w:t xml:space="preserve"> </w:t>
      </w:r>
      <w:r w:rsidR="004436DF" w:rsidRPr="000B02C5">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4436DF" w:rsidRPr="000B02C5">
        <w:rPr>
          <w:noProof/>
        </w:rPr>
        <w:t>(Findley, 2008)</w:t>
      </w:r>
      <w:r w:rsidR="004436DF">
        <w:t xml:space="preserve"> </w:t>
      </w:r>
      <w:r w:rsidRPr="000B02C5">
        <w:t xml:space="preserve">Though it took a number of years, possibly three years, for the series of events which began in the late 1960s to lead to the initiation of conflict, this effect of this conflict was then sustained endogenously over many decades. This appears to represent the essence of cycles of violence driven by tit-for-tat processes of recrimination and revenge. For both sides, justice meant responding to violence with violence, a process of call and response in deadly conflict that, like an echo in a cave, only diminished slowly in intensity over time. Once this wave of conflict was initiated, it may have been that there was little that external agents could have done to either exacerbate or hasten the process of decline in violence. </w:t>
      </w:r>
    </w:p>
    <w:p w14:paraId="74A49F99" w14:textId="774E59B1" w:rsidR="001B7B4E" w:rsidRPr="000B02C5" w:rsidRDefault="001B7B4E" w:rsidP="000B02C5">
      <w:pPr>
        <w:pStyle w:val="Heading3"/>
        <w:spacing w:line="480" w:lineRule="auto"/>
        <w:rPr>
          <w:color w:val="auto"/>
        </w:rPr>
      </w:pPr>
      <w:r w:rsidRPr="000B02C5">
        <w:rPr>
          <w:color w:val="auto"/>
        </w:rPr>
        <w:t xml:space="preserve">Implications of the </w:t>
      </w:r>
      <w:r w:rsidR="00322835" w:rsidRPr="000B02C5">
        <w:rPr>
          <w:color w:val="auto"/>
        </w:rPr>
        <w:t>initiation</w:t>
      </w:r>
      <w:r w:rsidRPr="000B02C5">
        <w:rPr>
          <w:color w:val="auto"/>
        </w:rPr>
        <w:t>-decay model to conflict in Northern Ireland</w:t>
      </w:r>
    </w:p>
    <w:p w14:paraId="14E5EE7C" w14:textId="7671FA57" w:rsidR="00146D0F" w:rsidRDefault="00146D0F" w:rsidP="00146D0F">
      <w:pPr>
        <w:spacing w:line="480" w:lineRule="auto"/>
      </w:pPr>
      <w:r w:rsidRPr="000B02C5">
        <w:t xml:space="preserve">If, once initiated, the conflict was largely endogenously </w:t>
      </w:r>
      <w:r>
        <w:t>sustained</w:t>
      </w:r>
      <w:r w:rsidRPr="000B02C5">
        <w:t xml:space="preserve">, this has important implications for how the various peace initiatives and processes which were attempted after 1972 should be interpreted in terms of their effectiveness. Up to seven prior attempts at bringing peace to Northern Ireland were made between 1969 and the Belfast Agreement of 1998, including the </w:t>
      </w:r>
      <w:proofErr w:type="spellStart"/>
      <w:r w:rsidRPr="000B02C5">
        <w:t>Sunningdale</w:t>
      </w:r>
      <w:proofErr w:type="spellEnd"/>
      <w:r w:rsidRPr="000B02C5">
        <w:t xml:space="preserve"> Agreement of 1973. It has been argued that what made the Belfast successful was the presence of key individuals acting effectively as ‘brokers’ in the complex social networks which had to be negotiated at the time.</w:t>
      </w:r>
      <w:r w:rsidRPr="000B02C5">
        <w:rPr>
          <w:noProof/>
        </w:rPr>
        <w:t>(Goddard, 2012)</w:t>
      </w:r>
      <w:r w:rsidRPr="000B02C5">
        <w:t xml:space="preserve">  However, if the underlying dynamics of the model are accurate, then </w:t>
      </w:r>
      <w:r>
        <w:t xml:space="preserve">such </w:t>
      </w:r>
      <w:r w:rsidRPr="000B02C5">
        <w:t>factors may be greatly overstated. If the half-life of the conflict was 6.76 years and began in 1972, it follows that by 1994 the intensity of the conflict had diminished to around one-tenth of its initial level. (i.e</w:t>
      </w:r>
      <w:proofErr w:type="gramStart"/>
      <w:r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(1994-1972)</m:t>
            </m:r>
          </m:sup>
        </m:sSup>
        <m:r>
          <w:rPr>
            <w:rFonts w:ascii="Cambria Math" w:eastAsiaTheme="minorEastAsia" w:hAnsi="Cambria Math"/>
          </w:rPr>
          <m:t>=0.105</m:t>
        </m:r>
      </m:oMath>
      <w:r w:rsidRPr="000B02C5">
        <w:rPr>
          <w:rFonts w:eastAsiaTheme="minorEastAsia"/>
        </w:rPr>
        <w:t xml:space="preserve">). Similarly, by the time of the Good Friday </w:t>
      </w:r>
      <w:r w:rsidRPr="000B02C5">
        <w:rPr>
          <w:rFonts w:eastAsiaTheme="minorEastAsia"/>
        </w:rPr>
        <w:lastRenderedPageBreak/>
        <w:t xml:space="preserve">Agreement in 1998 the underlying conflict intensity had diminished to around 7% of its initial value </w:t>
      </w:r>
      <w:r w:rsidRPr="000B02C5">
        <w:t>(i.e</w:t>
      </w:r>
      <w:proofErr w:type="gramStart"/>
      <w:r w:rsidRPr="000B02C5">
        <w:t xml:space="preserve">. </w:t>
      </w:r>
      <w:proofErr w:type="gramEnd"/>
      <m:oMath>
        <m:sSup>
          <m:sSupPr>
            <m:ctrlPr>
              <w:rPr>
                <w:rFonts w:ascii="Cambria Math" w:eastAsiaTheme="minorEastAsia" w:hAnsi="Cambria Math"/>
                <w:i/>
              </w:rPr>
            </m:ctrlPr>
          </m:sSupPr>
          <m:e>
            <m:r>
              <w:rPr>
                <w:rFonts w:ascii="Cambria Math" w:eastAsiaTheme="minorEastAsia" w:hAnsi="Cambria Math"/>
              </w:rPr>
              <m:t>(1-k)</m:t>
            </m:r>
          </m:e>
          <m:sup>
            <m:r>
              <w:rPr>
                <w:rFonts w:ascii="Cambria Math" w:eastAsiaTheme="minorEastAsia" w:hAnsi="Cambria Math"/>
              </w:rPr>
              <m:t>(1998-1972)</m:t>
            </m:r>
          </m:sup>
        </m:sSup>
        <m:r>
          <w:rPr>
            <w:rFonts w:ascii="Cambria Math" w:eastAsiaTheme="minorEastAsia" w:hAnsi="Cambria Math"/>
          </w:rPr>
          <m:t>=0.069</m:t>
        </m:r>
      </m:oMath>
      <w:r w:rsidRPr="000B02C5">
        <w:rPr>
          <w:rFonts w:eastAsiaTheme="minorEastAsia"/>
        </w:rPr>
        <w:t>). Note that these intensity values apply to log</w:t>
      </w:r>
      <w:r w:rsidRPr="000B02C5">
        <w:rPr>
          <w:rFonts w:eastAsiaTheme="minorEastAsia"/>
          <w:vertAlign w:val="subscript"/>
        </w:rPr>
        <w:t>10</w:t>
      </w:r>
      <w:r w:rsidRPr="000B02C5">
        <w:rPr>
          <w:rFonts w:eastAsiaTheme="minorEastAsia"/>
        </w:rPr>
        <w:t xml:space="preserve"> mortality risks, so the actual level of decline of conflict intensity on deaths by the mid to late 1990s will have been even greater. </w:t>
      </w:r>
      <w:r w:rsidRPr="000B02C5">
        <w:t xml:space="preserve"> </w:t>
      </w:r>
    </w:p>
    <w:p w14:paraId="63A25EFA" w14:textId="2A0E6D8C" w:rsidR="00146D0F" w:rsidRPr="000B02C5" w:rsidRDefault="00146D0F" w:rsidP="00146D0F">
      <w:pPr>
        <w:spacing w:line="480" w:lineRule="auto"/>
      </w:pPr>
      <w:r w:rsidRPr="000B02C5">
        <w:t>The power sharing arrangement following the Good Friday Agreement (GFA) has been described as an example of ‘</w:t>
      </w:r>
      <w:proofErr w:type="spellStart"/>
      <w:r w:rsidRPr="000B02C5">
        <w:t>consociationalism</w:t>
      </w:r>
      <w:proofErr w:type="spellEnd"/>
      <w:r w:rsidRPr="000B02C5">
        <w:t>’, a system of government in which coalition by both Republicans and Loyalists is mandated.</w:t>
      </w:r>
      <w:r w:rsidRPr="00146D0F">
        <w:rPr>
          <w:noProof/>
        </w:rPr>
        <w:t>(Anderson, 2008)</w:t>
      </w:r>
      <w:r w:rsidRPr="000B02C5">
        <w:t xml:space="preserve"> The </w:t>
      </w:r>
      <w:proofErr w:type="spellStart"/>
      <w:r w:rsidRPr="000B02C5">
        <w:t>consociational</w:t>
      </w:r>
      <w:proofErr w:type="spellEnd"/>
      <w:r w:rsidRPr="000B02C5">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Pr="000B02C5">
        <w:rPr>
          <w:noProof/>
        </w:rPr>
        <w:t>(</w:t>
      </w:r>
      <w:proofErr w:type="spellStart"/>
      <w:r w:rsidRPr="000B02C5">
        <w:rPr>
          <w:noProof/>
        </w:rPr>
        <w:t>McGlynn</w:t>
      </w:r>
      <w:proofErr w:type="spellEnd"/>
      <w:r w:rsidRPr="000B02C5">
        <w:rPr>
          <w:noProof/>
        </w:rPr>
        <w:t>, Tonge, &amp; McAuley, 2014)</w:t>
      </w:r>
      <w:r w:rsidRPr="000B02C5">
        <w:t xml:space="preserve"> Cross-ethnic political parties have seen only limited success after the GFA compared with sectarian political parties, and this lack of success has been attributed to the </w:t>
      </w:r>
      <w:proofErr w:type="spellStart"/>
      <w:r>
        <w:t>consociationalist</w:t>
      </w:r>
      <w:proofErr w:type="spellEnd"/>
      <w:r w:rsidRPr="000B02C5">
        <w:t xml:space="preserve"> institutions established in the wake of the GFA to accommodate (rather than attempt to blend) rival identities.</w:t>
      </w:r>
      <w:r w:rsidRPr="000B02C5">
        <w:rPr>
          <w:noProof/>
        </w:rPr>
        <w:t>(</w:t>
      </w:r>
      <w:proofErr w:type="spellStart"/>
      <w:r w:rsidRPr="000B02C5">
        <w:rPr>
          <w:noProof/>
        </w:rPr>
        <w:t>Murtagh</w:t>
      </w:r>
      <w:proofErr w:type="spellEnd"/>
      <w:r w:rsidRPr="000B02C5">
        <w:rPr>
          <w:noProof/>
        </w:rPr>
        <w:t>, 2015)</w:t>
      </w:r>
      <w:r>
        <w:t xml:space="preserve"> </w:t>
      </w:r>
      <w:r w:rsidRPr="000B02C5">
        <w:t xml:space="preserve">Questions have therefore been raised about whether the GFA represents or helps to bring about conflict </w:t>
      </w:r>
      <w:r w:rsidRPr="000B02C5">
        <w:rPr>
          <w:i/>
        </w:rPr>
        <w:t>resolution</w:t>
      </w:r>
      <w:r w:rsidRPr="000B02C5">
        <w:t xml:space="preserve">, or is simply conflict </w:t>
      </w:r>
      <w:r w:rsidRPr="000B02C5">
        <w:rPr>
          <w:i/>
        </w:rPr>
        <w:t>management</w:t>
      </w:r>
      <w:r>
        <w:t>,</w:t>
      </w:r>
      <w:r w:rsidRPr="000B02C5">
        <w:t xml:space="preserve"> </w:t>
      </w:r>
      <w:r>
        <w:t xml:space="preserve">or </w:t>
      </w:r>
      <w:r w:rsidRPr="000B02C5">
        <w:t>more pessimistically</w:t>
      </w:r>
      <w:r>
        <w:t>, conflict deferment</w:t>
      </w:r>
      <w:r w:rsidRPr="000B02C5">
        <w:t>.</w:t>
      </w:r>
      <w:r w:rsidRPr="00146D0F">
        <w:rPr>
          <w:noProof/>
        </w:rPr>
        <w:t>(Anderson, 2008)</w:t>
      </w:r>
      <w:r w:rsidRPr="000B02C5">
        <w:t xml:space="preserve"> </w:t>
      </w:r>
    </w:p>
    <w:p w14:paraId="72453952" w14:textId="6127AF05" w:rsidR="008D1A01" w:rsidRPr="000B02C5" w:rsidRDefault="00A96270" w:rsidP="000B02C5">
      <w:pPr>
        <w:spacing w:line="480" w:lineRule="auto"/>
      </w:pPr>
      <w:r>
        <w:t>W</w:t>
      </w:r>
      <w:r w:rsidR="00EF2178" w:rsidRPr="000B02C5">
        <w:t>hereas ethno-national conflict since the establishment of Northern Ireland in 1921 sharpened the border with the Republic of Ireland, the European Single Market made it more permeable.</w:t>
      </w:r>
      <w:r w:rsidR="00EF2178" w:rsidRPr="000B02C5">
        <w:rPr>
          <w:noProof/>
        </w:rPr>
        <w:t>(Anderson &amp; O’Dowd, 1999)</w:t>
      </w:r>
      <w:r w:rsidR="00EF2178" w:rsidRPr="000B02C5">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rsidR="00EF2178" w:rsidRPr="000B02C5">
        <w:rPr>
          <w:noProof/>
        </w:rPr>
        <w:t>(Buchanan, 2008)</w:t>
      </w:r>
      <w:r w:rsidR="00EF2178" w:rsidRPr="000B02C5">
        <w:t xml:space="preserve">  </w:t>
      </w:r>
      <w:r w:rsidR="008D1A01" w:rsidRPr="000B02C5">
        <w:t xml:space="preserve">The third phase of the EU programme for Peace and Reconciliation in Northern Ireland took </w:t>
      </w:r>
      <w:r w:rsidR="008D1A01" w:rsidRPr="000B02C5">
        <w:lastRenderedPageBreak/>
        <w:t xml:space="preserve">place over the years 2007 to 2013. </w:t>
      </w:r>
      <w:r w:rsidR="008D1A01" w:rsidRPr="000B02C5">
        <w:rPr>
          <w:noProof/>
        </w:rPr>
        <w:t>(Karari, Byrne, Skarlato, Ahmed, &amp; Hyde, 2013)</w:t>
      </w:r>
      <w:r w:rsidR="00146D0F">
        <w:t xml:space="preserve"> Whereas the GFA focused on building peace by addressing the leaders of political factions, EU-led initiatives focused on economic investment and to greater community engagement as a means of building more lasting stability in Northern Ireland and the Irish border. The UK’s departure places the future of further initiatives in doubt, though the Irish border remains a key priority for EU-UK Brexit negotiations.</w:t>
      </w:r>
    </w:p>
    <w:p w14:paraId="66C18D91" w14:textId="6D8E364A" w:rsidR="00C920BF" w:rsidRDefault="00146D0F" w:rsidP="000B02C5">
      <w:pPr>
        <w:spacing w:line="480" w:lineRule="auto"/>
      </w:pPr>
      <w:r>
        <w:t xml:space="preserve">At the time of writing (13 June 2017), in the days following the 2017 General Election, particular attention has been paid in the UK mainland to the socially conservative views of the DUP on issues including abortion, homosexuality, and gay marriage. Gay marriage is now legal in the Republic of Ireland, and Northern Ireland remains the only part of the UK in which abortion is illegal, suggesting that Northern Ireland possesses greater religious social conservatism than either ‘Catholic Ireland’ or ‘Protestant England’. </w:t>
      </w:r>
      <w:r w:rsidR="00757F5B">
        <w:t xml:space="preserve">Many aspects of this social conservatism, for those in Northern Ireland to possess social attitudes considered ‘regressive’ in neighbouring countries, may itself result from lingering sectarian tension, and a phenomenon in social psychology known as the ‘secondary transfer effect’ (STE), which posits that once two antagonistic groups develop more positive attitudes to one another, attitudes towards additional outgroups – such as ethnic minorities, homosexuals, and teenage parents – also tend to become more positive and accepting. </w:t>
      </w:r>
      <w:r w:rsidR="00757F5B" w:rsidRPr="00C94CE9">
        <w:rPr>
          <w:noProof/>
        </w:rPr>
        <w:t>(Tausch et al., 2010)</w:t>
      </w:r>
      <w:r w:rsidR="00757F5B" w:rsidRPr="000B02C5">
        <w:t xml:space="preserve"> </w:t>
      </w:r>
      <w:r w:rsidR="00757F5B">
        <w:t xml:space="preserve">Without mutual acceptance by Unionists’ and </w:t>
      </w:r>
      <w:r w:rsidR="00A30D59">
        <w:t>Nationalists</w:t>
      </w:r>
      <w:r w:rsidR="00757F5B">
        <w:t>’ of each group’s primary outgroup (</w:t>
      </w:r>
      <w:r w:rsidR="00A30D59">
        <w:t xml:space="preserve">Nationalists </w:t>
      </w:r>
      <w:r w:rsidR="00757F5B">
        <w:t>and Unionists respectively), acceptance and tolerance towards other outgroups may continue to lag behind those in neighbouring countries</w:t>
      </w:r>
      <w:r w:rsidR="00A30D59">
        <w:t xml:space="preserve">. </w:t>
      </w:r>
      <w:r w:rsidR="00A30D59" w:rsidRPr="00A30D59">
        <w:rPr>
          <w:noProof/>
        </w:rPr>
        <w:t>(Ashe, 2009; Schmid, Hewstone, &amp; Tausch, 2014)</w:t>
      </w:r>
      <w:r w:rsidR="00A30D59" w:rsidRPr="000B02C5">
        <w:t xml:space="preserve">  </w:t>
      </w:r>
      <w:r w:rsidR="00757F5B">
        <w:t xml:space="preserve">A barometer for latent sectarianism within Northern Ireland, and thus the degree to which UK-led political actions relating to Brexit could initiate a new wave of decades-long conflict, may therefore be attitudes and behaviours directed towards people who are neither Unionist nor Catholic, neither Loyalist nor </w:t>
      </w:r>
      <w:r w:rsidR="00A30D59">
        <w:t xml:space="preserve">Nationalist, but simply different. </w:t>
      </w:r>
    </w:p>
    <w:p w14:paraId="6C70904D" w14:textId="77777777" w:rsidR="00F119C2" w:rsidRPr="001D36B8" w:rsidRDefault="00F119C2" w:rsidP="000B02C5">
      <w:pPr>
        <w:spacing w:line="480" w:lineRule="auto"/>
        <w:rPr>
          <w:color w:val="FF0000"/>
        </w:rPr>
        <w:sectPr w:rsidR="00F119C2" w:rsidRPr="001D36B8" w:rsidSect="001766BE">
          <w:pgSz w:w="11906" w:h="16838"/>
          <w:pgMar w:top="1440" w:right="1440" w:bottom="1440" w:left="1440" w:header="708" w:footer="708" w:gutter="0"/>
          <w:cols w:space="708"/>
          <w:docGrid w:linePitch="360"/>
        </w:sectPr>
      </w:pPr>
    </w:p>
    <w:p w14:paraId="0F2785EC" w14:textId="14C7ACB8" w:rsidR="00F1537E" w:rsidRDefault="00F1537E" w:rsidP="000B02C5">
      <w:pPr>
        <w:pStyle w:val="Heading1"/>
        <w:spacing w:line="480" w:lineRule="auto"/>
      </w:pPr>
      <w:r w:rsidRPr="00A30D59">
        <w:rPr>
          <w:color w:val="auto"/>
        </w:rPr>
        <w:lastRenderedPageBreak/>
        <w:t xml:space="preserve">References </w:t>
      </w:r>
      <w:r w:rsidR="00023023">
        <w:br/>
      </w:r>
    </w:p>
    <w:p w14:paraId="23238F88" w14:textId="5AE59E6E"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Abadie, A., Diamond, A., &amp; Hainmueller, J. (2015). Comparative Politics and the Synthetic Control Method. </w:t>
      </w:r>
      <w:r w:rsidRPr="00681EE6">
        <w:rPr>
          <w:rFonts w:ascii="Calibri" w:hAnsi="Calibri" w:cs="Times New Roman"/>
          <w:i/>
          <w:iCs/>
          <w:noProof/>
          <w:szCs w:val="24"/>
        </w:rPr>
        <w:t>American Journal of Political Science</w:t>
      </w:r>
      <w:r w:rsidRPr="00681EE6">
        <w:rPr>
          <w:rFonts w:ascii="Calibri" w:hAnsi="Calibri" w:cs="Times New Roman"/>
          <w:noProof/>
          <w:szCs w:val="24"/>
        </w:rPr>
        <w:t xml:space="preserve">, </w:t>
      </w:r>
      <w:r w:rsidRPr="00681EE6">
        <w:rPr>
          <w:rFonts w:ascii="Calibri" w:hAnsi="Calibri" w:cs="Times New Roman"/>
          <w:i/>
          <w:iCs/>
          <w:noProof/>
          <w:szCs w:val="24"/>
        </w:rPr>
        <w:t>59</w:t>
      </w:r>
      <w:r w:rsidRPr="00681EE6">
        <w:rPr>
          <w:rFonts w:ascii="Calibri" w:hAnsi="Calibri" w:cs="Times New Roman"/>
          <w:noProof/>
          <w:szCs w:val="24"/>
        </w:rPr>
        <w:t>(2), 495–510. http://doi.org/10.1111/ajps.12116</w:t>
      </w:r>
    </w:p>
    <w:p w14:paraId="26460915"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Akaike, H. (1974). A new look at the statistical model identification. </w:t>
      </w:r>
      <w:r w:rsidRPr="00681EE6">
        <w:rPr>
          <w:rFonts w:ascii="Calibri" w:hAnsi="Calibri" w:cs="Times New Roman"/>
          <w:i/>
          <w:iCs/>
          <w:noProof/>
          <w:szCs w:val="24"/>
        </w:rPr>
        <w:t>IEEE Transactions on Automatic Control</w:t>
      </w:r>
      <w:r w:rsidRPr="00681EE6">
        <w:rPr>
          <w:rFonts w:ascii="Calibri" w:hAnsi="Calibri" w:cs="Times New Roman"/>
          <w:noProof/>
          <w:szCs w:val="24"/>
        </w:rPr>
        <w:t xml:space="preserve">, </w:t>
      </w:r>
      <w:r w:rsidRPr="00681EE6">
        <w:rPr>
          <w:rFonts w:ascii="Calibri" w:hAnsi="Calibri" w:cs="Times New Roman"/>
          <w:i/>
          <w:iCs/>
          <w:noProof/>
          <w:szCs w:val="24"/>
        </w:rPr>
        <w:t>19</w:t>
      </w:r>
      <w:r w:rsidRPr="00681EE6">
        <w:rPr>
          <w:rFonts w:ascii="Calibri" w:hAnsi="Calibri" w:cs="Times New Roman"/>
          <w:noProof/>
          <w:szCs w:val="24"/>
        </w:rPr>
        <w:t>(6), 716–723. http://doi.org/10.1109/TAC.1974.1100705</w:t>
      </w:r>
    </w:p>
    <w:p w14:paraId="67D738B4"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Anderson, J. (2008). Partition, consociation, border-crossing: some lessons from the national conflict in Ireland/Northern Ireland. </w:t>
      </w:r>
      <w:r w:rsidRPr="00681EE6">
        <w:rPr>
          <w:rFonts w:ascii="Calibri" w:hAnsi="Calibri" w:cs="Times New Roman"/>
          <w:i/>
          <w:iCs/>
          <w:noProof/>
          <w:szCs w:val="24"/>
        </w:rPr>
        <w:t>Nations and Nationalism</w:t>
      </w:r>
      <w:r w:rsidRPr="00681EE6">
        <w:rPr>
          <w:rFonts w:ascii="Calibri" w:hAnsi="Calibri" w:cs="Times New Roman"/>
          <w:noProof/>
          <w:szCs w:val="24"/>
        </w:rPr>
        <w:t xml:space="preserve">, </w:t>
      </w:r>
      <w:r w:rsidRPr="00681EE6">
        <w:rPr>
          <w:rFonts w:ascii="Calibri" w:hAnsi="Calibri" w:cs="Times New Roman"/>
          <w:i/>
          <w:iCs/>
          <w:noProof/>
          <w:szCs w:val="24"/>
        </w:rPr>
        <w:t>14</w:t>
      </w:r>
      <w:r w:rsidRPr="00681EE6">
        <w:rPr>
          <w:rFonts w:ascii="Calibri" w:hAnsi="Calibri" w:cs="Times New Roman"/>
          <w:noProof/>
          <w:szCs w:val="24"/>
        </w:rPr>
        <w:t>(1), 85–104. http://doi.org/10.1111/j.1469-8129.2008.00340.x</w:t>
      </w:r>
    </w:p>
    <w:p w14:paraId="46A73592"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Anderson, J., &amp; O’Dowd, L. (1999). Contested Borders: Globalization and Ethnonational Conflict in Ireland. </w:t>
      </w:r>
      <w:r w:rsidRPr="00681EE6">
        <w:rPr>
          <w:rFonts w:ascii="Calibri" w:hAnsi="Calibri" w:cs="Times New Roman"/>
          <w:i/>
          <w:iCs/>
          <w:noProof/>
          <w:szCs w:val="24"/>
        </w:rPr>
        <w:t>Regional Studies</w:t>
      </w:r>
      <w:r w:rsidRPr="00681EE6">
        <w:rPr>
          <w:rFonts w:ascii="Calibri" w:hAnsi="Calibri" w:cs="Times New Roman"/>
          <w:noProof/>
          <w:szCs w:val="24"/>
        </w:rPr>
        <w:t xml:space="preserve">, </w:t>
      </w:r>
      <w:r w:rsidRPr="00681EE6">
        <w:rPr>
          <w:rFonts w:ascii="Calibri" w:hAnsi="Calibri" w:cs="Times New Roman"/>
          <w:i/>
          <w:iCs/>
          <w:noProof/>
          <w:szCs w:val="24"/>
        </w:rPr>
        <w:t>33</w:t>
      </w:r>
      <w:r w:rsidRPr="00681EE6">
        <w:rPr>
          <w:rFonts w:ascii="Calibri" w:hAnsi="Calibri" w:cs="Times New Roman"/>
          <w:noProof/>
          <w:szCs w:val="24"/>
        </w:rPr>
        <w:t>(7), 681–696. http://doi.org/10.1080/00343409950078710</w:t>
      </w:r>
    </w:p>
    <w:p w14:paraId="17BEF643"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Anderson, J., &amp; O’Dowd, L. (2007). Imperialism and nationalism: The Home Rule struggle and border creation in Ireland, 1885–1925. </w:t>
      </w:r>
      <w:r w:rsidRPr="00681EE6">
        <w:rPr>
          <w:rFonts w:ascii="Calibri" w:hAnsi="Calibri" w:cs="Times New Roman"/>
          <w:i/>
          <w:iCs/>
          <w:noProof/>
          <w:szCs w:val="24"/>
        </w:rPr>
        <w:t>Political Geography</w:t>
      </w:r>
      <w:r w:rsidRPr="00681EE6">
        <w:rPr>
          <w:rFonts w:ascii="Calibri" w:hAnsi="Calibri" w:cs="Times New Roman"/>
          <w:noProof/>
          <w:szCs w:val="24"/>
        </w:rPr>
        <w:t xml:space="preserve">, </w:t>
      </w:r>
      <w:r w:rsidRPr="00681EE6">
        <w:rPr>
          <w:rFonts w:ascii="Calibri" w:hAnsi="Calibri" w:cs="Times New Roman"/>
          <w:i/>
          <w:iCs/>
          <w:noProof/>
          <w:szCs w:val="24"/>
        </w:rPr>
        <w:t>26</w:t>
      </w:r>
      <w:r w:rsidRPr="00681EE6">
        <w:rPr>
          <w:rFonts w:ascii="Calibri" w:hAnsi="Calibri" w:cs="Times New Roman"/>
          <w:noProof/>
          <w:szCs w:val="24"/>
        </w:rPr>
        <w:t>(8), 934–950. http://doi.org/10.1016/j.polgeo.2007.10.001</w:t>
      </w:r>
    </w:p>
    <w:p w14:paraId="13FA221D"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Ashe, F. (2009). Iris Robinson’s Excitable Speech: Sexuality and Conflict Transformation in Northern Ireland. </w:t>
      </w:r>
      <w:r w:rsidRPr="00681EE6">
        <w:rPr>
          <w:rFonts w:ascii="Calibri" w:hAnsi="Calibri" w:cs="Times New Roman"/>
          <w:i/>
          <w:iCs/>
          <w:noProof/>
          <w:szCs w:val="24"/>
        </w:rPr>
        <w:t>Politics</w:t>
      </w:r>
      <w:r w:rsidRPr="00681EE6">
        <w:rPr>
          <w:rFonts w:ascii="Calibri" w:hAnsi="Calibri" w:cs="Times New Roman"/>
          <w:noProof/>
          <w:szCs w:val="24"/>
        </w:rPr>
        <w:t xml:space="preserve">, </w:t>
      </w:r>
      <w:r w:rsidRPr="00681EE6">
        <w:rPr>
          <w:rFonts w:ascii="Calibri" w:hAnsi="Calibri" w:cs="Times New Roman"/>
          <w:i/>
          <w:iCs/>
          <w:noProof/>
          <w:szCs w:val="24"/>
        </w:rPr>
        <w:t>29</w:t>
      </w:r>
      <w:r w:rsidRPr="00681EE6">
        <w:rPr>
          <w:rFonts w:ascii="Calibri" w:hAnsi="Calibri" w:cs="Times New Roman"/>
          <w:noProof/>
          <w:szCs w:val="24"/>
        </w:rPr>
        <w:t>(1), 20–27.</w:t>
      </w:r>
    </w:p>
    <w:p w14:paraId="7DFB67BB"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681EE6">
        <w:rPr>
          <w:rFonts w:ascii="Calibri" w:hAnsi="Calibri" w:cs="Times New Roman"/>
          <w:i/>
          <w:iCs/>
          <w:noProof/>
          <w:szCs w:val="24"/>
        </w:rPr>
        <w:t>Irish Political Studies</w:t>
      </w:r>
      <w:r w:rsidRPr="00681EE6">
        <w:rPr>
          <w:rFonts w:ascii="Calibri" w:hAnsi="Calibri" w:cs="Times New Roman"/>
          <w:noProof/>
          <w:szCs w:val="24"/>
        </w:rPr>
        <w:t xml:space="preserve">, </w:t>
      </w:r>
      <w:r w:rsidRPr="00681EE6">
        <w:rPr>
          <w:rFonts w:ascii="Calibri" w:hAnsi="Calibri" w:cs="Times New Roman"/>
          <w:i/>
          <w:iCs/>
          <w:noProof/>
          <w:szCs w:val="24"/>
        </w:rPr>
        <w:t>23</w:t>
      </w:r>
      <w:r w:rsidRPr="00681EE6">
        <w:rPr>
          <w:rFonts w:ascii="Calibri" w:hAnsi="Calibri" w:cs="Times New Roman"/>
          <w:noProof/>
          <w:szCs w:val="24"/>
        </w:rPr>
        <w:t>(3), 387–409. http://doi.org/10.1080/07907180802246719</w:t>
      </w:r>
    </w:p>
    <w:p w14:paraId="30C76FCA"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Curran, P. S. (2001). Psychiatric implications of chronic civilian strife or war: Northern Ireland. </w:t>
      </w:r>
      <w:r w:rsidRPr="00681EE6">
        <w:rPr>
          <w:rFonts w:ascii="Calibri" w:hAnsi="Calibri" w:cs="Times New Roman"/>
          <w:i/>
          <w:iCs/>
          <w:noProof/>
          <w:szCs w:val="24"/>
        </w:rPr>
        <w:t>Advances in Psychiatric Treatment</w:t>
      </w:r>
      <w:r w:rsidRPr="00681EE6">
        <w:rPr>
          <w:rFonts w:ascii="Calibri" w:hAnsi="Calibri" w:cs="Times New Roman"/>
          <w:noProof/>
          <w:szCs w:val="24"/>
        </w:rPr>
        <w:t xml:space="preserve">, </w:t>
      </w:r>
      <w:r w:rsidRPr="00681EE6">
        <w:rPr>
          <w:rFonts w:ascii="Calibri" w:hAnsi="Calibri" w:cs="Times New Roman"/>
          <w:i/>
          <w:iCs/>
          <w:noProof/>
          <w:szCs w:val="24"/>
        </w:rPr>
        <w:t>7</w:t>
      </w:r>
      <w:r w:rsidRPr="00681EE6">
        <w:rPr>
          <w:rFonts w:ascii="Calibri" w:hAnsi="Calibri" w:cs="Times New Roman"/>
          <w:noProof/>
          <w:szCs w:val="24"/>
        </w:rPr>
        <w:t>(1), 73–80. http://doi.org/10.1192/apt.7.1.73</w:t>
      </w:r>
    </w:p>
    <w:p w14:paraId="6E185FC9"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Durkheim, E. (1951). Suicide, a study in sociology. </w:t>
      </w:r>
      <w:r w:rsidRPr="00681EE6">
        <w:rPr>
          <w:rFonts w:ascii="Calibri" w:hAnsi="Calibri" w:cs="Times New Roman"/>
          <w:i/>
          <w:iCs/>
          <w:noProof/>
          <w:szCs w:val="24"/>
        </w:rPr>
        <w:t>New York Free Press</w:t>
      </w:r>
      <w:r w:rsidRPr="00681EE6">
        <w:rPr>
          <w:rFonts w:ascii="Calibri" w:hAnsi="Calibri" w:cs="Times New Roman"/>
          <w:noProof/>
          <w:szCs w:val="24"/>
        </w:rPr>
        <w:t xml:space="preserve">, </w:t>
      </w:r>
      <w:r w:rsidRPr="00681EE6">
        <w:rPr>
          <w:rFonts w:ascii="Calibri" w:hAnsi="Calibri" w:cs="Times New Roman"/>
          <w:i/>
          <w:iCs/>
          <w:noProof/>
          <w:szCs w:val="24"/>
        </w:rPr>
        <w:t>3</w:t>
      </w:r>
      <w:r w:rsidRPr="00681EE6">
        <w:rPr>
          <w:rFonts w:ascii="Calibri" w:hAnsi="Calibri" w:cs="Times New Roman"/>
          <w:noProof/>
          <w:szCs w:val="24"/>
        </w:rPr>
        <w:t xml:space="preserve">, 405. </w:t>
      </w:r>
      <w:r w:rsidRPr="00681EE6">
        <w:rPr>
          <w:rFonts w:ascii="Calibri" w:hAnsi="Calibri" w:cs="Times New Roman"/>
          <w:noProof/>
          <w:szCs w:val="24"/>
        </w:rPr>
        <w:lastRenderedPageBreak/>
        <w:t>http://doi.org/10.2307/2088294</w:t>
      </w:r>
    </w:p>
    <w:p w14:paraId="381FA632"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Findley, M. G. (2008). Agents and conflict: Adaptation and the dynamics of war. </w:t>
      </w:r>
      <w:r w:rsidRPr="00681EE6">
        <w:rPr>
          <w:rFonts w:ascii="Calibri" w:hAnsi="Calibri" w:cs="Times New Roman"/>
          <w:i/>
          <w:iCs/>
          <w:noProof/>
          <w:szCs w:val="24"/>
        </w:rPr>
        <w:t>Complexity</w:t>
      </w:r>
      <w:r w:rsidRPr="00681EE6">
        <w:rPr>
          <w:rFonts w:ascii="Calibri" w:hAnsi="Calibri" w:cs="Times New Roman"/>
          <w:noProof/>
          <w:szCs w:val="24"/>
        </w:rPr>
        <w:t xml:space="preserve">, </w:t>
      </w:r>
      <w:r w:rsidRPr="00681EE6">
        <w:rPr>
          <w:rFonts w:ascii="Calibri" w:hAnsi="Calibri" w:cs="Times New Roman"/>
          <w:i/>
          <w:iCs/>
          <w:noProof/>
          <w:szCs w:val="24"/>
        </w:rPr>
        <w:t>14</w:t>
      </w:r>
      <w:r w:rsidRPr="00681EE6">
        <w:rPr>
          <w:rFonts w:ascii="Calibri" w:hAnsi="Calibri" w:cs="Times New Roman"/>
          <w:noProof/>
          <w:szCs w:val="24"/>
        </w:rPr>
        <w:t>(1), 22–35. http://doi.org/10.1002/cplx.20232</w:t>
      </w:r>
    </w:p>
    <w:p w14:paraId="31378F87"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681EE6">
        <w:rPr>
          <w:rFonts w:ascii="Calibri" w:hAnsi="Calibri" w:cs="Times New Roman"/>
          <w:i/>
          <w:iCs/>
          <w:noProof/>
          <w:szCs w:val="24"/>
        </w:rPr>
        <w:t>BMJ Open</w:t>
      </w:r>
      <w:r w:rsidRPr="00681EE6">
        <w:rPr>
          <w:rFonts w:ascii="Calibri" w:hAnsi="Calibri" w:cs="Times New Roman"/>
          <w:noProof/>
          <w:szCs w:val="24"/>
        </w:rPr>
        <w:t xml:space="preserve">, </w:t>
      </w:r>
      <w:r w:rsidRPr="00681EE6">
        <w:rPr>
          <w:rFonts w:ascii="Calibri" w:hAnsi="Calibri" w:cs="Times New Roman"/>
          <w:i/>
          <w:iCs/>
          <w:noProof/>
          <w:szCs w:val="24"/>
        </w:rPr>
        <w:t>6</w:t>
      </w:r>
      <w:r w:rsidRPr="00681EE6">
        <w:rPr>
          <w:rFonts w:ascii="Calibri" w:hAnsi="Calibri" w:cs="Times New Roman"/>
          <w:noProof/>
          <w:szCs w:val="24"/>
        </w:rPr>
        <w:t>(1), e009924. http://doi.org/10.1136/bmjopen-2015-009924</w:t>
      </w:r>
    </w:p>
    <w:p w14:paraId="3B89ECD5"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Goddard, S. E. (2012). Brokering Peace: Networks, Legitimacy, and the Northern Ireland Peace Process. </w:t>
      </w:r>
      <w:r w:rsidRPr="00681EE6">
        <w:rPr>
          <w:rFonts w:ascii="Calibri" w:hAnsi="Calibri" w:cs="Times New Roman"/>
          <w:i/>
          <w:iCs/>
          <w:noProof/>
          <w:szCs w:val="24"/>
        </w:rPr>
        <w:t>International Studies Quarterly</w:t>
      </w:r>
      <w:r w:rsidRPr="00681EE6">
        <w:rPr>
          <w:rFonts w:ascii="Calibri" w:hAnsi="Calibri" w:cs="Times New Roman"/>
          <w:noProof/>
          <w:szCs w:val="24"/>
        </w:rPr>
        <w:t xml:space="preserve">, </w:t>
      </w:r>
      <w:r w:rsidRPr="00681EE6">
        <w:rPr>
          <w:rFonts w:ascii="Calibri" w:hAnsi="Calibri" w:cs="Times New Roman"/>
          <w:i/>
          <w:iCs/>
          <w:noProof/>
          <w:szCs w:val="24"/>
        </w:rPr>
        <w:t>56</w:t>
      </w:r>
      <w:r w:rsidRPr="00681EE6">
        <w:rPr>
          <w:rFonts w:ascii="Calibri" w:hAnsi="Calibri" w:cs="Times New Roman"/>
          <w:noProof/>
          <w:szCs w:val="24"/>
        </w:rPr>
        <w:t>(3), 501–515. http://doi.org/10.1111/j.1468-2478.2012.00737.x</w:t>
      </w:r>
    </w:p>
    <w:p w14:paraId="354F8976"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Karari, P., Byrne, S., Skarlato, O., Ahmed, K., &amp; Hyde, J. M. (2013). The role of external economic assistance in nurturing cross-community contact and reconciliation in Northern Ireland and the Border Counties. </w:t>
      </w:r>
      <w:r w:rsidRPr="00681EE6">
        <w:rPr>
          <w:rFonts w:ascii="Calibri" w:hAnsi="Calibri" w:cs="Times New Roman"/>
          <w:i/>
          <w:iCs/>
          <w:noProof/>
          <w:szCs w:val="24"/>
        </w:rPr>
        <w:t>Community Development Journal</w:t>
      </w:r>
      <w:r w:rsidRPr="00681EE6">
        <w:rPr>
          <w:rFonts w:ascii="Calibri" w:hAnsi="Calibri" w:cs="Times New Roman"/>
          <w:noProof/>
          <w:szCs w:val="24"/>
        </w:rPr>
        <w:t xml:space="preserve">, </w:t>
      </w:r>
      <w:r w:rsidRPr="00681EE6">
        <w:rPr>
          <w:rFonts w:ascii="Calibri" w:hAnsi="Calibri" w:cs="Times New Roman"/>
          <w:i/>
          <w:iCs/>
          <w:noProof/>
          <w:szCs w:val="24"/>
        </w:rPr>
        <w:t>48</w:t>
      </w:r>
      <w:r w:rsidRPr="00681EE6">
        <w:rPr>
          <w:rFonts w:ascii="Calibri" w:hAnsi="Calibri" w:cs="Times New Roman"/>
          <w:noProof/>
          <w:szCs w:val="24"/>
        </w:rPr>
        <w:t>(4), 587–604. http://doi.org/10.1093/cdj/bss054</w:t>
      </w:r>
    </w:p>
    <w:p w14:paraId="475944CA"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Leonard, M. (2004). Bonding and bridging social capital: Reflections from Belfast. </w:t>
      </w:r>
      <w:r w:rsidRPr="00681EE6">
        <w:rPr>
          <w:rFonts w:ascii="Calibri" w:hAnsi="Calibri" w:cs="Times New Roman"/>
          <w:i/>
          <w:iCs/>
          <w:noProof/>
          <w:szCs w:val="24"/>
        </w:rPr>
        <w:t>Sociology-the Journal of the British Sociological Association</w:t>
      </w:r>
      <w:r w:rsidRPr="00681EE6">
        <w:rPr>
          <w:rFonts w:ascii="Calibri" w:hAnsi="Calibri" w:cs="Times New Roman"/>
          <w:noProof/>
          <w:szCs w:val="24"/>
        </w:rPr>
        <w:t xml:space="preserve">, </w:t>
      </w:r>
      <w:r w:rsidRPr="00681EE6">
        <w:rPr>
          <w:rFonts w:ascii="Calibri" w:hAnsi="Calibri" w:cs="Times New Roman"/>
          <w:i/>
          <w:iCs/>
          <w:noProof/>
          <w:szCs w:val="24"/>
        </w:rPr>
        <w:t>38</w:t>
      </w:r>
      <w:r w:rsidRPr="00681EE6">
        <w:rPr>
          <w:rFonts w:ascii="Calibri" w:hAnsi="Calibri" w:cs="Times New Roman"/>
          <w:noProof/>
          <w:szCs w:val="24"/>
        </w:rPr>
        <w:t>(5), 927–944.</w:t>
      </w:r>
    </w:p>
    <w:p w14:paraId="46B0D9D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Lester, D. (2002). The “troubles” in Northern Ireland and suicide. </w:t>
      </w:r>
      <w:r w:rsidRPr="00681EE6">
        <w:rPr>
          <w:rFonts w:ascii="Calibri" w:hAnsi="Calibri" w:cs="Times New Roman"/>
          <w:i/>
          <w:iCs/>
          <w:noProof/>
          <w:szCs w:val="24"/>
        </w:rPr>
        <w:t>Psychological Reports</w:t>
      </w:r>
      <w:r w:rsidRPr="00681EE6">
        <w:rPr>
          <w:rFonts w:ascii="Calibri" w:hAnsi="Calibri" w:cs="Times New Roman"/>
          <w:noProof/>
          <w:szCs w:val="24"/>
        </w:rPr>
        <w:t xml:space="preserve">, </w:t>
      </w:r>
      <w:r w:rsidRPr="00681EE6">
        <w:rPr>
          <w:rFonts w:ascii="Calibri" w:hAnsi="Calibri" w:cs="Times New Roman"/>
          <w:i/>
          <w:iCs/>
          <w:noProof/>
          <w:szCs w:val="24"/>
        </w:rPr>
        <w:t>90</w:t>
      </w:r>
      <w:r w:rsidRPr="00681EE6">
        <w:rPr>
          <w:rFonts w:ascii="Calibri" w:hAnsi="Calibri" w:cs="Times New Roman"/>
          <w:noProof/>
          <w:szCs w:val="24"/>
        </w:rPr>
        <w:t>(3), 722.</w:t>
      </w:r>
    </w:p>
    <w:p w14:paraId="09A0F800"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McDowell, S. (2008). Selling Conflict Heritage through Tourism in Peacetime Northern Ireland: Transforming Conflict or Exacerbating Difference? </w:t>
      </w:r>
      <w:r w:rsidRPr="00681EE6">
        <w:rPr>
          <w:rFonts w:ascii="Calibri" w:hAnsi="Calibri" w:cs="Times New Roman"/>
          <w:i/>
          <w:iCs/>
          <w:noProof/>
          <w:szCs w:val="24"/>
        </w:rPr>
        <w:t>International Journal of Heritage Studies</w:t>
      </w:r>
      <w:r w:rsidRPr="00681EE6">
        <w:rPr>
          <w:rFonts w:ascii="Calibri" w:hAnsi="Calibri" w:cs="Times New Roman"/>
          <w:noProof/>
          <w:szCs w:val="24"/>
        </w:rPr>
        <w:t xml:space="preserve">, </w:t>
      </w:r>
      <w:r w:rsidRPr="00681EE6">
        <w:rPr>
          <w:rFonts w:ascii="Calibri" w:hAnsi="Calibri" w:cs="Times New Roman"/>
          <w:i/>
          <w:iCs/>
          <w:noProof/>
          <w:szCs w:val="24"/>
        </w:rPr>
        <w:t>14</w:t>
      </w:r>
      <w:r w:rsidRPr="00681EE6">
        <w:rPr>
          <w:rFonts w:ascii="Calibri" w:hAnsi="Calibri" w:cs="Times New Roman"/>
          <w:noProof/>
          <w:szCs w:val="24"/>
        </w:rPr>
        <w:t>(5), 405–421. http://doi.org/10.1080/13527250802284859</w:t>
      </w:r>
    </w:p>
    <w:p w14:paraId="7F56E00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McGlynn, C., Tonge, J., &amp; McAuley, J. (2014). The Party Politics of Post-Devolution Identity in Northern Ireland. </w:t>
      </w:r>
      <w:r w:rsidRPr="00681EE6">
        <w:rPr>
          <w:rFonts w:ascii="Calibri" w:hAnsi="Calibri" w:cs="Times New Roman"/>
          <w:i/>
          <w:iCs/>
          <w:noProof/>
          <w:szCs w:val="24"/>
        </w:rPr>
        <w:t>The British Journal of Politics and International Relations</w:t>
      </w:r>
      <w:r w:rsidRPr="00681EE6">
        <w:rPr>
          <w:rFonts w:ascii="Calibri" w:hAnsi="Calibri" w:cs="Times New Roman"/>
          <w:noProof/>
          <w:szCs w:val="24"/>
        </w:rPr>
        <w:t xml:space="preserve">, </w:t>
      </w:r>
      <w:r w:rsidRPr="00681EE6">
        <w:rPr>
          <w:rFonts w:ascii="Calibri" w:hAnsi="Calibri" w:cs="Times New Roman"/>
          <w:i/>
          <w:iCs/>
          <w:noProof/>
          <w:szCs w:val="24"/>
        </w:rPr>
        <w:t>16</w:t>
      </w:r>
      <w:r w:rsidRPr="00681EE6">
        <w:rPr>
          <w:rFonts w:ascii="Calibri" w:hAnsi="Calibri" w:cs="Times New Roman"/>
          <w:noProof/>
          <w:szCs w:val="24"/>
        </w:rPr>
        <w:t>(2), 273–290. http://doi.org/10.1111/j.1467-856X.2012.00528.x</w:t>
      </w:r>
    </w:p>
    <w:p w14:paraId="42DC758F"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lastRenderedPageBreak/>
        <w:t xml:space="preserve">Menand, L. (2009). The Metaphysical Club. </w:t>
      </w:r>
      <w:r w:rsidRPr="00681EE6">
        <w:rPr>
          <w:rFonts w:ascii="Calibri" w:hAnsi="Calibri" w:cs="Times New Roman"/>
          <w:i/>
          <w:iCs/>
          <w:noProof/>
          <w:szCs w:val="24"/>
        </w:rPr>
        <w:t>Harvard Library Bulletin</w:t>
      </w:r>
      <w:r w:rsidRPr="00681EE6">
        <w:rPr>
          <w:rFonts w:ascii="Calibri" w:hAnsi="Calibri" w:cs="Times New Roman"/>
          <w:noProof/>
          <w:szCs w:val="24"/>
        </w:rPr>
        <w:t xml:space="preserve">, </w:t>
      </w:r>
      <w:r w:rsidRPr="00681EE6">
        <w:rPr>
          <w:rFonts w:ascii="Calibri" w:hAnsi="Calibri" w:cs="Times New Roman"/>
          <w:i/>
          <w:iCs/>
          <w:noProof/>
          <w:szCs w:val="24"/>
        </w:rPr>
        <w:t>20</w:t>
      </w:r>
      <w:r w:rsidRPr="00681EE6">
        <w:rPr>
          <w:rFonts w:ascii="Calibri" w:hAnsi="Calibri" w:cs="Times New Roman"/>
          <w:noProof/>
          <w:szCs w:val="24"/>
        </w:rPr>
        <w:t>(2), 22–23.</w:t>
      </w:r>
    </w:p>
    <w:p w14:paraId="1E96B7B5"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Merton, R. (1968). </w:t>
      </w:r>
      <w:r w:rsidRPr="00681EE6">
        <w:rPr>
          <w:rFonts w:ascii="Calibri" w:hAnsi="Calibri" w:cs="Times New Roman"/>
          <w:i/>
          <w:iCs/>
          <w:noProof/>
          <w:szCs w:val="24"/>
        </w:rPr>
        <w:t>Social Theory and Social Structure</w:t>
      </w:r>
      <w:r w:rsidRPr="00681EE6">
        <w:rPr>
          <w:rFonts w:ascii="Calibri" w:hAnsi="Calibri" w:cs="Times New Roman"/>
          <w:noProof/>
          <w:szCs w:val="24"/>
        </w:rPr>
        <w:t>. New York: Free Press.</w:t>
      </w:r>
    </w:p>
    <w:p w14:paraId="17125C8B" w14:textId="09CE366D" w:rsidR="00681EE6" w:rsidRPr="00681EE6" w:rsidRDefault="0023698D" w:rsidP="00681EE6">
      <w:pPr>
        <w:widowControl w:val="0"/>
        <w:autoSpaceDE w:val="0"/>
        <w:autoSpaceDN w:val="0"/>
        <w:adjustRightInd w:val="0"/>
        <w:spacing w:line="480" w:lineRule="auto"/>
        <w:ind w:left="480" w:hanging="480"/>
        <w:rPr>
          <w:rFonts w:ascii="Calibri" w:hAnsi="Calibri" w:cs="Times New Roman"/>
          <w:noProof/>
          <w:szCs w:val="24"/>
        </w:rPr>
      </w:pPr>
      <w:r>
        <w:rPr>
          <w:rFonts w:ascii="Calibri" w:hAnsi="Calibri" w:cs="Times New Roman"/>
          <w:noProof/>
          <w:szCs w:val="24"/>
        </w:rPr>
        <w:t>AUTHOR 2014</w:t>
      </w:r>
    </w:p>
    <w:p w14:paraId="36750668" w14:textId="7FFA4716" w:rsidR="00681EE6" w:rsidRPr="00681EE6" w:rsidRDefault="0023698D" w:rsidP="00681EE6">
      <w:pPr>
        <w:widowControl w:val="0"/>
        <w:autoSpaceDE w:val="0"/>
        <w:autoSpaceDN w:val="0"/>
        <w:adjustRightInd w:val="0"/>
        <w:spacing w:line="480" w:lineRule="auto"/>
        <w:ind w:left="480" w:hanging="480"/>
        <w:rPr>
          <w:rFonts w:ascii="Calibri" w:hAnsi="Calibri" w:cs="Times New Roman"/>
          <w:noProof/>
          <w:szCs w:val="24"/>
        </w:rPr>
      </w:pPr>
      <w:r>
        <w:rPr>
          <w:rFonts w:ascii="Calibri" w:hAnsi="Calibri" w:cs="Times New Roman"/>
          <w:noProof/>
          <w:szCs w:val="24"/>
        </w:rPr>
        <w:t>AUTHOR 2017</w:t>
      </w:r>
      <w:bookmarkStart w:id="0" w:name="_GoBack"/>
      <w:bookmarkEnd w:id="0"/>
    </w:p>
    <w:p w14:paraId="4283895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Murtagh, C. (2015). Reaching across: institutional barriers to cross-ethnic parties in post-conflict societies and the case of Northern Ireland. </w:t>
      </w:r>
      <w:r w:rsidRPr="00681EE6">
        <w:rPr>
          <w:rFonts w:ascii="Calibri" w:hAnsi="Calibri" w:cs="Times New Roman"/>
          <w:i/>
          <w:iCs/>
          <w:noProof/>
          <w:szCs w:val="24"/>
        </w:rPr>
        <w:t>Nations and Nationalism</w:t>
      </w:r>
      <w:r w:rsidRPr="00681EE6">
        <w:rPr>
          <w:rFonts w:ascii="Calibri" w:hAnsi="Calibri" w:cs="Times New Roman"/>
          <w:noProof/>
          <w:szCs w:val="24"/>
        </w:rPr>
        <w:t xml:space="preserve">, </w:t>
      </w:r>
      <w:r w:rsidRPr="00681EE6">
        <w:rPr>
          <w:rFonts w:ascii="Calibri" w:hAnsi="Calibri" w:cs="Times New Roman"/>
          <w:i/>
          <w:iCs/>
          <w:noProof/>
          <w:szCs w:val="24"/>
        </w:rPr>
        <w:t>21</w:t>
      </w:r>
      <w:r w:rsidRPr="00681EE6">
        <w:rPr>
          <w:rFonts w:ascii="Calibri" w:hAnsi="Calibri" w:cs="Times New Roman"/>
          <w:noProof/>
          <w:szCs w:val="24"/>
        </w:rPr>
        <w:t>(3), 544–565. http://doi.org/10.1111/nana.12129</w:t>
      </w:r>
    </w:p>
    <w:p w14:paraId="4B37B17B"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R Core Team. (2016). R: A language and environment for statistical computing. Vienna, Austria: Foundation for Statistical Computing,. Retrieved from https://www.r-project.org/</w:t>
      </w:r>
    </w:p>
    <w:p w14:paraId="32A09958"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Schmid, K., Hewstone, M., &amp; Tausch, N. (2014). Secondary transfer effects of intergroup contact via social identity complexity. </w:t>
      </w:r>
      <w:r w:rsidRPr="00681EE6">
        <w:rPr>
          <w:rFonts w:ascii="Calibri" w:hAnsi="Calibri" w:cs="Times New Roman"/>
          <w:i/>
          <w:iCs/>
          <w:noProof/>
          <w:szCs w:val="24"/>
        </w:rPr>
        <w:t>The British Journal of Social Psychology</w:t>
      </w:r>
      <w:r w:rsidRPr="00681EE6">
        <w:rPr>
          <w:rFonts w:ascii="Calibri" w:hAnsi="Calibri" w:cs="Times New Roman"/>
          <w:noProof/>
          <w:szCs w:val="24"/>
        </w:rPr>
        <w:t xml:space="preserve">, </w:t>
      </w:r>
      <w:r w:rsidRPr="00681EE6">
        <w:rPr>
          <w:rFonts w:ascii="Calibri" w:hAnsi="Calibri" w:cs="Times New Roman"/>
          <w:i/>
          <w:iCs/>
          <w:noProof/>
          <w:szCs w:val="24"/>
        </w:rPr>
        <w:t>53</w:t>
      </w:r>
      <w:r w:rsidRPr="00681EE6">
        <w:rPr>
          <w:rFonts w:ascii="Calibri" w:hAnsi="Calibri" w:cs="Times New Roman"/>
          <w:noProof/>
          <w:szCs w:val="24"/>
        </w:rPr>
        <w:t>(3), 443–62. http://doi.org/10.1111/bjso.12045</w:t>
      </w:r>
    </w:p>
    <w:p w14:paraId="5627A0C1"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Smyth, M. (1998). </w:t>
      </w:r>
      <w:r w:rsidRPr="00681EE6">
        <w:rPr>
          <w:rFonts w:ascii="Calibri" w:hAnsi="Calibri" w:cs="Times New Roman"/>
          <w:i/>
          <w:iCs/>
          <w:noProof/>
          <w:szCs w:val="24"/>
        </w:rPr>
        <w:t>Half the Battle: Understanding the impact of “the Troubles” on children and young people</w:t>
      </w:r>
      <w:r w:rsidRPr="00681EE6">
        <w:rPr>
          <w:rFonts w:ascii="Calibri" w:hAnsi="Calibri" w:cs="Times New Roman"/>
          <w:noProof/>
          <w:szCs w:val="24"/>
        </w:rPr>
        <w:t>. Derry: INCORE. Retrieved from http://cain.ulst.ac.uk/issues/violence/cts/smyth1.htm</w:t>
      </w:r>
    </w:p>
    <w:p w14:paraId="494EF982"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Tausch, N., Hewstone, M., Kenworthy, J. B., Psaltis, C., Schmid, K., Popan, J. R., … Hughes, J. (2010). Secondary transfer effects of intergroup contact: Alternative accounts and underlying processes. </w:t>
      </w:r>
      <w:r w:rsidRPr="00681EE6">
        <w:rPr>
          <w:rFonts w:ascii="Calibri" w:hAnsi="Calibri" w:cs="Times New Roman"/>
          <w:i/>
          <w:iCs/>
          <w:noProof/>
          <w:szCs w:val="24"/>
        </w:rPr>
        <w:t>Journal of Personality and Social Psychology</w:t>
      </w:r>
      <w:r w:rsidRPr="00681EE6">
        <w:rPr>
          <w:rFonts w:ascii="Calibri" w:hAnsi="Calibri" w:cs="Times New Roman"/>
          <w:noProof/>
          <w:szCs w:val="24"/>
        </w:rPr>
        <w:t xml:space="preserve">, </w:t>
      </w:r>
      <w:r w:rsidRPr="00681EE6">
        <w:rPr>
          <w:rFonts w:ascii="Calibri" w:hAnsi="Calibri" w:cs="Times New Roman"/>
          <w:i/>
          <w:iCs/>
          <w:noProof/>
          <w:szCs w:val="24"/>
        </w:rPr>
        <w:t>99</w:t>
      </w:r>
      <w:r w:rsidRPr="00681EE6">
        <w:rPr>
          <w:rFonts w:ascii="Calibri" w:hAnsi="Calibri" w:cs="Times New Roman"/>
          <w:noProof/>
          <w:szCs w:val="24"/>
        </w:rPr>
        <w:t>(2), 282–302. http://doi.org/10.1037/a0018553</w:t>
      </w:r>
    </w:p>
    <w:p w14:paraId="75C6D18E"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681EE6">
        <w:rPr>
          <w:rFonts w:ascii="Calibri" w:hAnsi="Calibri" w:cs="Times New Roman"/>
          <w:i/>
          <w:iCs/>
          <w:noProof/>
          <w:szCs w:val="24"/>
        </w:rPr>
        <w:t>Journal of Strategic Studies</w:t>
      </w:r>
      <w:r w:rsidRPr="00681EE6">
        <w:rPr>
          <w:rFonts w:ascii="Calibri" w:hAnsi="Calibri" w:cs="Times New Roman"/>
          <w:noProof/>
          <w:szCs w:val="24"/>
        </w:rPr>
        <w:t xml:space="preserve">, </w:t>
      </w:r>
      <w:r w:rsidRPr="00681EE6">
        <w:rPr>
          <w:rFonts w:ascii="Calibri" w:hAnsi="Calibri" w:cs="Times New Roman"/>
          <w:i/>
          <w:iCs/>
          <w:noProof/>
          <w:szCs w:val="24"/>
        </w:rPr>
        <w:t>30</w:t>
      </w:r>
      <w:r w:rsidRPr="00681EE6">
        <w:rPr>
          <w:rFonts w:ascii="Calibri" w:hAnsi="Calibri" w:cs="Times New Roman"/>
          <w:noProof/>
          <w:szCs w:val="24"/>
        </w:rPr>
        <w:t>(1), 73–107. http://doi.org/10.1080/01402390701210848</w:t>
      </w:r>
    </w:p>
    <w:p w14:paraId="676232EA"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Turchin, P., &amp; Gavrilets, S. (2009). Evolution of Complex Hierarchical Societies. </w:t>
      </w:r>
      <w:r w:rsidRPr="00681EE6">
        <w:rPr>
          <w:rFonts w:ascii="Calibri" w:hAnsi="Calibri" w:cs="Times New Roman"/>
          <w:i/>
          <w:iCs/>
          <w:noProof/>
          <w:szCs w:val="24"/>
        </w:rPr>
        <w:t>Social Evolution &amp; History</w:t>
      </w:r>
      <w:r w:rsidRPr="00681EE6">
        <w:rPr>
          <w:rFonts w:ascii="Calibri" w:hAnsi="Calibri" w:cs="Times New Roman"/>
          <w:noProof/>
          <w:szCs w:val="24"/>
        </w:rPr>
        <w:t xml:space="preserve">, </w:t>
      </w:r>
      <w:r w:rsidRPr="00681EE6">
        <w:rPr>
          <w:rFonts w:ascii="Calibri" w:hAnsi="Calibri" w:cs="Times New Roman"/>
          <w:i/>
          <w:iCs/>
          <w:noProof/>
          <w:szCs w:val="24"/>
        </w:rPr>
        <w:t>8</w:t>
      </w:r>
      <w:r w:rsidRPr="00681EE6">
        <w:rPr>
          <w:rFonts w:ascii="Calibri" w:hAnsi="Calibri" w:cs="Times New Roman"/>
          <w:noProof/>
          <w:szCs w:val="24"/>
        </w:rPr>
        <w:t>(2), 167–198.</w:t>
      </w:r>
    </w:p>
    <w:p w14:paraId="3D481E70"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lastRenderedPageBreak/>
        <w:t>University of California, B. (USA); M. P. I. for D. R. (Germany). (2017). Human Mortality Database. Retrieved June 13, 2017, from www.mortality.org</w:t>
      </w:r>
    </w:p>
    <w:p w14:paraId="12C489F4" w14:textId="77777777" w:rsidR="00681EE6" w:rsidRPr="00681EE6" w:rsidRDefault="00681EE6" w:rsidP="00681EE6">
      <w:pPr>
        <w:widowControl w:val="0"/>
        <w:autoSpaceDE w:val="0"/>
        <w:autoSpaceDN w:val="0"/>
        <w:adjustRightInd w:val="0"/>
        <w:spacing w:line="480" w:lineRule="auto"/>
        <w:ind w:left="480" w:hanging="480"/>
        <w:rPr>
          <w:rFonts w:ascii="Calibri" w:hAnsi="Calibri" w:cs="Times New Roman"/>
          <w:noProof/>
          <w:szCs w:val="24"/>
        </w:rPr>
      </w:pPr>
      <w:r w:rsidRPr="00681EE6">
        <w:rPr>
          <w:rFonts w:ascii="Calibri" w:hAnsi="Calibri" w:cs="Times New Roman"/>
          <w:noProof/>
          <w:szCs w:val="24"/>
        </w:rPr>
        <w:t xml:space="preserve">Vaupel, J. W., Wang, Z., Andreev, K., &amp; Yashin, A. I. (1997). </w:t>
      </w:r>
      <w:r w:rsidRPr="00681EE6">
        <w:rPr>
          <w:rFonts w:ascii="Calibri" w:hAnsi="Calibri" w:cs="Times New Roman"/>
          <w:i/>
          <w:iCs/>
          <w:noProof/>
          <w:szCs w:val="24"/>
        </w:rPr>
        <w:t>Population Data at a Glance: Shaded Contour Maps of Demographic Surfaces over Age and Time</w:t>
      </w:r>
      <w:r w:rsidRPr="00681EE6">
        <w:rPr>
          <w:rFonts w:ascii="Calibri" w:hAnsi="Calibri" w:cs="Times New Roman"/>
          <w:noProof/>
          <w:szCs w:val="24"/>
        </w:rPr>
        <w:t>. University Press of Southern Denmark. Retrieved from http://www.abebooks.co.uk/servlet/BookDetailsPL?bi=2944819605</w:t>
      </w:r>
    </w:p>
    <w:p w14:paraId="18ED1243" w14:textId="77777777" w:rsidR="00681EE6" w:rsidRPr="00681EE6" w:rsidRDefault="00681EE6" w:rsidP="00681EE6">
      <w:pPr>
        <w:widowControl w:val="0"/>
        <w:autoSpaceDE w:val="0"/>
        <w:autoSpaceDN w:val="0"/>
        <w:adjustRightInd w:val="0"/>
        <w:spacing w:line="480" w:lineRule="auto"/>
        <w:ind w:left="480" w:hanging="480"/>
        <w:rPr>
          <w:rFonts w:ascii="Calibri" w:hAnsi="Calibri"/>
          <w:noProof/>
        </w:rPr>
      </w:pPr>
      <w:r w:rsidRPr="00681EE6">
        <w:rPr>
          <w:rFonts w:ascii="Calibri" w:hAnsi="Calibri" w:cs="Times New Roman"/>
          <w:noProof/>
          <w:szCs w:val="24"/>
        </w:rPr>
        <w:t xml:space="preserve">Wright, S. (2006). A systems approach to analysing sub‐state conflicts. </w:t>
      </w:r>
      <w:r w:rsidRPr="00681EE6">
        <w:rPr>
          <w:rFonts w:ascii="Calibri" w:hAnsi="Calibri" w:cs="Times New Roman"/>
          <w:i/>
          <w:iCs/>
          <w:noProof/>
          <w:szCs w:val="24"/>
        </w:rPr>
        <w:t>Kybernetes</w:t>
      </w:r>
      <w:r w:rsidRPr="00681EE6">
        <w:rPr>
          <w:rFonts w:ascii="Calibri" w:hAnsi="Calibri" w:cs="Times New Roman"/>
          <w:noProof/>
          <w:szCs w:val="24"/>
        </w:rPr>
        <w:t xml:space="preserve">, </w:t>
      </w:r>
      <w:r w:rsidRPr="00681EE6">
        <w:rPr>
          <w:rFonts w:ascii="Calibri" w:hAnsi="Calibri" w:cs="Times New Roman"/>
          <w:i/>
          <w:iCs/>
          <w:noProof/>
          <w:szCs w:val="24"/>
        </w:rPr>
        <w:t>35</w:t>
      </w:r>
      <w:r w:rsidRPr="00681EE6">
        <w:rPr>
          <w:rFonts w:ascii="Calibri" w:hAnsi="Calibri" w:cs="Times New Roman"/>
          <w:noProof/>
          <w:szCs w:val="24"/>
        </w:rPr>
        <w:t>(1/2), 182–194. http://doi.org/10.1108/03684920610640308</w:t>
      </w:r>
    </w:p>
    <w:p w14:paraId="68B27265" w14:textId="51057EFD" w:rsidR="00023023" w:rsidRPr="00023023" w:rsidRDefault="00023023" w:rsidP="000B02C5">
      <w:pPr>
        <w:spacing w:line="480" w:lineRule="auto"/>
      </w:pPr>
    </w:p>
    <w:sectPr w:rsidR="00023023" w:rsidRPr="00023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F3A41" w14:textId="77777777" w:rsidR="00DC695A" w:rsidRDefault="00DC695A" w:rsidP="000B02C5">
      <w:pPr>
        <w:spacing w:after="0" w:line="240" w:lineRule="auto"/>
      </w:pPr>
      <w:r>
        <w:separator/>
      </w:r>
    </w:p>
  </w:endnote>
  <w:endnote w:type="continuationSeparator" w:id="0">
    <w:p w14:paraId="611A4515" w14:textId="77777777" w:rsidR="00DC695A" w:rsidRDefault="00DC695A"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1840AD" w:rsidRDefault="001840AD">
        <w:pPr>
          <w:pStyle w:val="Footer"/>
          <w:jc w:val="right"/>
        </w:pPr>
        <w:r>
          <w:fldChar w:fldCharType="begin"/>
        </w:r>
        <w:r>
          <w:instrText xml:space="preserve"> PAGE   \* MERGEFORMAT </w:instrText>
        </w:r>
        <w:r>
          <w:fldChar w:fldCharType="separate"/>
        </w:r>
        <w:r w:rsidR="0023698D">
          <w:rPr>
            <w:noProof/>
          </w:rPr>
          <w:t>22</w:t>
        </w:r>
        <w:r>
          <w:rPr>
            <w:noProof/>
          </w:rPr>
          <w:fldChar w:fldCharType="end"/>
        </w:r>
      </w:p>
    </w:sdtContent>
  </w:sdt>
  <w:p w14:paraId="1C47D505" w14:textId="77777777" w:rsidR="001840AD" w:rsidRDefault="00184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16B60" w14:textId="77777777" w:rsidR="00DC695A" w:rsidRDefault="00DC695A" w:rsidP="000B02C5">
      <w:pPr>
        <w:spacing w:after="0" w:line="240" w:lineRule="auto"/>
      </w:pPr>
      <w:r>
        <w:separator/>
      </w:r>
    </w:p>
  </w:footnote>
  <w:footnote w:type="continuationSeparator" w:id="0">
    <w:p w14:paraId="5D0018B8" w14:textId="77777777" w:rsidR="00DC695A" w:rsidRDefault="00DC695A"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64C6"/>
    <w:multiLevelType w:val="hybridMultilevel"/>
    <w:tmpl w:val="5F06ED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33147"/>
    <w:multiLevelType w:val="hybridMultilevel"/>
    <w:tmpl w:val="8158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4023"/>
    <w:rsid w:val="00045603"/>
    <w:rsid w:val="00095E96"/>
    <w:rsid w:val="000B02C5"/>
    <w:rsid w:val="000B2D22"/>
    <w:rsid w:val="000D3EC9"/>
    <w:rsid w:val="000E2BEA"/>
    <w:rsid w:val="0011370C"/>
    <w:rsid w:val="00143745"/>
    <w:rsid w:val="00146D0F"/>
    <w:rsid w:val="001766BE"/>
    <w:rsid w:val="001840AD"/>
    <w:rsid w:val="001B7B4E"/>
    <w:rsid w:val="001C5702"/>
    <w:rsid w:val="001D2C6E"/>
    <w:rsid w:val="001D36B8"/>
    <w:rsid w:val="001D540A"/>
    <w:rsid w:val="001E1856"/>
    <w:rsid w:val="001F1BD8"/>
    <w:rsid w:val="001F32F4"/>
    <w:rsid w:val="00203A77"/>
    <w:rsid w:val="002075EB"/>
    <w:rsid w:val="00226655"/>
    <w:rsid w:val="0023698D"/>
    <w:rsid w:val="0024334F"/>
    <w:rsid w:val="00266368"/>
    <w:rsid w:val="00273CFC"/>
    <w:rsid w:val="0029467E"/>
    <w:rsid w:val="002D4A9D"/>
    <w:rsid w:val="002E108B"/>
    <w:rsid w:val="00307E81"/>
    <w:rsid w:val="00322835"/>
    <w:rsid w:val="00327D17"/>
    <w:rsid w:val="003400A5"/>
    <w:rsid w:val="003426AF"/>
    <w:rsid w:val="003455A7"/>
    <w:rsid w:val="003575AB"/>
    <w:rsid w:val="00357EBB"/>
    <w:rsid w:val="003726C0"/>
    <w:rsid w:val="003D0EC1"/>
    <w:rsid w:val="003F3012"/>
    <w:rsid w:val="00412F98"/>
    <w:rsid w:val="0041727A"/>
    <w:rsid w:val="00434456"/>
    <w:rsid w:val="004436DF"/>
    <w:rsid w:val="00445BCD"/>
    <w:rsid w:val="0046718C"/>
    <w:rsid w:val="0049186E"/>
    <w:rsid w:val="004D1C59"/>
    <w:rsid w:val="004F1F5D"/>
    <w:rsid w:val="00500E6F"/>
    <w:rsid w:val="005213D9"/>
    <w:rsid w:val="005223FE"/>
    <w:rsid w:val="005629D3"/>
    <w:rsid w:val="00563F5E"/>
    <w:rsid w:val="005670E4"/>
    <w:rsid w:val="00572441"/>
    <w:rsid w:val="005805CB"/>
    <w:rsid w:val="005B3129"/>
    <w:rsid w:val="005D4F12"/>
    <w:rsid w:val="005E7056"/>
    <w:rsid w:val="005F5990"/>
    <w:rsid w:val="0062486B"/>
    <w:rsid w:val="00657D70"/>
    <w:rsid w:val="006764AA"/>
    <w:rsid w:val="00681EE6"/>
    <w:rsid w:val="006C78A1"/>
    <w:rsid w:val="006D095E"/>
    <w:rsid w:val="006D78AC"/>
    <w:rsid w:val="006E3FB2"/>
    <w:rsid w:val="007029A2"/>
    <w:rsid w:val="00717779"/>
    <w:rsid w:val="00720800"/>
    <w:rsid w:val="007232AE"/>
    <w:rsid w:val="00725DD5"/>
    <w:rsid w:val="00740AF6"/>
    <w:rsid w:val="00757F5B"/>
    <w:rsid w:val="007A159F"/>
    <w:rsid w:val="007A7A42"/>
    <w:rsid w:val="007B2477"/>
    <w:rsid w:val="007F5EF6"/>
    <w:rsid w:val="008001D5"/>
    <w:rsid w:val="008210AD"/>
    <w:rsid w:val="00842964"/>
    <w:rsid w:val="008818FA"/>
    <w:rsid w:val="00897E86"/>
    <w:rsid w:val="008D1A01"/>
    <w:rsid w:val="008E35C0"/>
    <w:rsid w:val="008E371F"/>
    <w:rsid w:val="009140E4"/>
    <w:rsid w:val="00924589"/>
    <w:rsid w:val="009359C6"/>
    <w:rsid w:val="00963867"/>
    <w:rsid w:val="00975750"/>
    <w:rsid w:val="00990874"/>
    <w:rsid w:val="009C0F9D"/>
    <w:rsid w:val="009D1C84"/>
    <w:rsid w:val="00A046D1"/>
    <w:rsid w:val="00A2767A"/>
    <w:rsid w:val="00A30D59"/>
    <w:rsid w:val="00A33838"/>
    <w:rsid w:val="00A7665B"/>
    <w:rsid w:val="00A96270"/>
    <w:rsid w:val="00AD3D51"/>
    <w:rsid w:val="00AF371D"/>
    <w:rsid w:val="00B03DB4"/>
    <w:rsid w:val="00B447E0"/>
    <w:rsid w:val="00C308A5"/>
    <w:rsid w:val="00C371AF"/>
    <w:rsid w:val="00C920BF"/>
    <w:rsid w:val="00C94CE9"/>
    <w:rsid w:val="00CB6062"/>
    <w:rsid w:val="00CC1DA7"/>
    <w:rsid w:val="00CD5496"/>
    <w:rsid w:val="00D0423A"/>
    <w:rsid w:val="00D055BC"/>
    <w:rsid w:val="00D45E71"/>
    <w:rsid w:val="00DC2B06"/>
    <w:rsid w:val="00DC695A"/>
    <w:rsid w:val="00DF7284"/>
    <w:rsid w:val="00E34348"/>
    <w:rsid w:val="00E37237"/>
    <w:rsid w:val="00EB1C4F"/>
    <w:rsid w:val="00EB4CAE"/>
    <w:rsid w:val="00EC53AF"/>
    <w:rsid w:val="00EE07C7"/>
    <w:rsid w:val="00EF2178"/>
    <w:rsid w:val="00EF78B9"/>
    <w:rsid w:val="00F119C2"/>
    <w:rsid w:val="00F130E9"/>
    <w:rsid w:val="00F1537E"/>
    <w:rsid w:val="00F15547"/>
    <w:rsid w:val="00F33FF6"/>
    <w:rsid w:val="00F350B4"/>
    <w:rsid w:val="00F60885"/>
    <w:rsid w:val="00F6656A"/>
    <w:rsid w:val="00F73E1F"/>
    <w:rsid w:val="00F82DEC"/>
    <w:rsid w:val="00FD52DB"/>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 w:type="paragraph" w:styleId="Caption">
    <w:name w:val="caption"/>
    <w:basedOn w:val="Normal"/>
    <w:next w:val="Normal"/>
    <w:uiPriority w:val="35"/>
    <w:semiHidden/>
    <w:unhideWhenUsed/>
    <w:qFormat/>
    <w:rsid w:val="003400A5"/>
    <w:pPr>
      <w:spacing w:after="200" w:line="240" w:lineRule="auto"/>
    </w:pPr>
    <w:rPr>
      <w:i/>
      <w:iCs/>
      <w:color w:val="44546A" w:themeColor="text2"/>
      <w:sz w:val="18"/>
      <w:szCs w:val="18"/>
    </w:rPr>
  </w:style>
  <w:style w:type="paragraph" w:styleId="NormalWeb">
    <w:name w:val="Normal (Web)"/>
    <w:basedOn w:val="Normal"/>
    <w:uiPriority w:val="99"/>
    <w:semiHidden/>
    <w:unhideWhenUsed/>
    <w:rsid w:val="00657D70"/>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65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F240-E536-4CDE-A668-FC304051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6589</Words>
  <Characters>37561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cp:lastPrinted>2017-06-22T09:23:00Z</cp:lastPrinted>
  <dcterms:created xsi:type="dcterms:W3CDTF">2017-06-22T11:27:00Z</dcterms:created>
  <dcterms:modified xsi:type="dcterms:W3CDTF">2017-06-22T11:33:00Z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