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251D0" w14:textId="5CA90AD7" w:rsidR="00F119C2" w:rsidRPr="003400A5" w:rsidRDefault="001840AD" w:rsidP="000B02C5">
      <w:pPr>
        <w:pStyle w:val="Heading1"/>
        <w:spacing w:line="480" w:lineRule="auto"/>
        <w:rPr>
          <w:color w:val="auto"/>
        </w:rPr>
      </w:pPr>
      <w:r>
        <w:rPr>
          <w:color w:val="auto"/>
        </w:rPr>
        <w:t xml:space="preserve">The Shape of the Troubles: Visualising and quantifying conflict-attributable excess deaths after 1972 in young adult males in Northern Ireland </w:t>
      </w:r>
    </w:p>
    <w:p w14:paraId="107F404D" w14:textId="24DB4E50" w:rsidR="00F1537E" w:rsidRPr="003400A5" w:rsidRDefault="00F1537E" w:rsidP="000B02C5">
      <w:pPr>
        <w:pStyle w:val="Heading2"/>
        <w:spacing w:line="480" w:lineRule="auto"/>
        <w:rPr>
          <w:color w:val="auto"/>
        </w:rPr>
      </w:pPr>
      <w:r w:rsidRPr="003400A5">
        <w:rPr>
          <w:color w:val="auto"/>
        </w:rPr>
        <w:t>Introduction</w:t>
      </w:r>
    </w:p>
    <w:p w14:paraId="0958BD8A" w14:textId="3C2672C3" w:rsidR="00975750" w:rsidRDefault="004F1F5D" w:rsidP="000B02C5">
      <w:pPr>
        <w:spacing w:line="480" w:lineRule="auto"/>
      </w:pPr>
      <w:r>
        <w:t>The issue of Northern Ireland, the Republic of Ireland, and the long border separating the two countries received relatively little attention in the run up to the EU Referendum on 23 June 201</w:t>
      </w:r>
      <w:r w:rsidR="00F6656A">
        <w:t>7</w:t>
      </w:r>
      <w:r>
        <w:t>. When the results of the Referendum were clear, and the Irish border became the only land border between the UK and the EU, Northern Ireland and the Republic of Ireland still received relatively little public or political attention. When, in the three months before the 201</w:t>
      </w:r>
      <w:r w:rsidR="00F6656A">
        <w:t>7</w:t>
      </w:r>
      <w:r>
        <w:t xml:space="preserve"> General Election, there were three terrorist events on the UK mainland, Northern Ireland still received relatively little </w:t>
      </w:r>
      <w:proofErr w:type="gramStart"/>
      <w:r>
        <w:t>attention</w:t>
      </w:r>
      <w:proofErr w:type="gramEnd"/>
      <w:r>
        <w:t xml:space="preserve"> in relation either to Brexit or UK government more generally, despite the region for many decades being one of Western Europe’s fulmination points for terrorist-related activity. However, at the t</w:t>
      </w:r>
      <w:r w:rsidR="00F6656A">
        <w:t>ime of writing (13 June 2017</w:t>
      </w:r>
      <w:r>
        <w:t xml:space="preserve">), in the days following the General Election results, mainland attention has finally turned to Northern Ireland, given </w:t>
      </w:r>
      <w:r w:rsidR="008210AD">
        <w:t xml:space="preserve">the critical role that the Democratic Unionist Party (DUP) may play in supporting a Conservative minority government, and the ramifications of Tory-DUP unions to stability both in Westminster and in the island of Ireland. </w:t>
      </w:r>
      <w:r w:rsidR="00D0423A">
        <w:t xml:space="preserve">This paper argues </w:t>
      </w:r>
      <w:r w:rsidR="008210AD">
        <w:t xml:space="preserve">that more attention should have been paid throughout to Northern Ireland, and for </w:t>
      </w:r>
      <w:r w:rsidR="00D0423A">
        <w:t xml:space="preserve">a deeper analysis and understanding of the causes and consequences of violent conflict in </w:t>
      </w:r>
      <w:r w:rsidR="008210AD">
        <w:t>the region</w:t>
      </w:r>
      <w:r w:rsidR="00203A77">
        <w:t xml:space="preserve">. </w:t>
      </w:r>
    </w:p>
    <w:p w14:paraId="48F3C7EE" w14:textId="77777777" w:rsidR="00975750" w:rsidRDefault="00203A77" w:rsidP="000B02C5">
      <w:pPr>
        <w:spacing w:line="480" w:lineRule="auto"/>
      </w:pPr>
      <w:r>
        <w:t xml:space="preserve">Three specific </w:t>
      </w:r>
      <w:r w:rsidR="00EE07C7">
        <w:t xml:space="preserve">empirical </w:t>
      </w:r>
      <w:r>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 xml:space="preserve">attributable to the conflict, based on observed patterns and trends in overall mortality, and compare these with estimates based on deaths directly attributed to violence; and to characterise the particular pattern of excess mortality </w:t>
      </w:r>
      <w:r w:rsidR="00EE07C7">
        <w:lastRenderedPageBreak/>
        <w:t xml:space="preserve">observed in Northern Irish demographic data, and describe why this is consistent with a tit-for-tat form of sectarian conflict. </w:t>
      </w:r>
    </w:p>
    <w:p w14:paraId="359E8E5C" w14:textId="4BF7B8A4" w:rsidR="00D0423A" w:rsidRDefault="00A30D59" w:rsidP="000B02C5">
      <w:pPr>
        <w:spacing w:line="480" w:lineRule="auto"/>
      </w:pPr>
      <w:r>
        <w:t>Substantively</w:t>
      </w:r>
      <w:r w:rsidR="006764AA">
        <w:t>,</w:t>
      </w:r>
      <w:r>
        <w:t xml:space="preserve"> </w:t>
      </w:r>
      <w:r w:rsidR="006764AA">
        <w:t xml:space="preserve">we </w:t>
      </w:r>
      <w:r>
        <w:t>argue</w:t>
      </w:r>
      <w:r w:rsidR="00EE07C7">
        <w:t xml:space="preserve"> that t</w:t>
      </w:r>
      <w:r w:rsidR="005213D9">
        <w:t xml:space="preserve">he fundamentals which led to this earlier wave of death and instability may still be present within Northern Irish society, and that poorly handled Brexit negotiations risk re-initiating a fresh wave of violence that, once started, may take decades to settle down again. </w:t>
      </w:r>
      <w:r w:rsidR="006764AA">
        <w:t xml:space="preserve">The logic of our model challenges a dominant narrative about the peace process in Northern Ireland, suggesting that key political events in the road to peace followed rather than led trends towards reduced violence in the </w:t>
      </w:r>
      <w:r>
        <w:t>region</w:t>
      </w:r>
      <w:r w:rsidR="006764AA">
        <w:t>.</w:t>
      </w:r>
      <w:r w:rsidR="005213D9">
        <w:t xml:space="preserve"> </w:t>
      </w:r>
    </w:p>
    <w:p w14:paraId="1EC82D46" w14:textId="31E01884" w:rsidR="00203A77" w:rsidRPr="003400A5" w:rsidRDefault="006764AA" w:rsidP="000B02C5">
      <w:pPr>
        <w:spacing w:line="480" w:lineRule="auto"/>
      </w:pPr>
      <w:r>
        <w:t xml:space="preserve">In </w:t>
      </w:r>
      <w:r w:rsidR="005213D9">
        <w:t>section two</w:t>
      </w:r>
      <w:r>
        <w:t xml:space="preserve"> we</w:t>
      </w:r>
      <w:r w:rsidR="005213D9">
        <w:t xml:space="preserve"> will provide a brief history of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w:t>
      </w:r>
      <w:r w:rsidR="00A30D59">
        <w:t>used to</w:t>
      </w:r>
      <w:r>
        <w:t xml:space="preserve"> explore the impact of the Troubles on mortality patterns in Northern Ireland</w:t>
      </w:r>
      <w:r w:rsidR="001D2C6E">
        <w:t xml:space="preserve">. Section four will present </w:t>
      </w:r>
      <w:r>
        <w:t xml:space="preserve">descriptive data visualisation and predicted mortality surfaces from the model, </w:t>
      </w:r>
      <w:r w:rsidR="001D2C6E">
        <w:t xml:space="preserve">and estimates </w:t>
      </w:r>
      <w:r>
        <w:t xml:space="preserve">of </w:t>
      </w:r>
      <w:r w:rsidR="001D2C6E">
        <w:t xml:space="preserve">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w:t>
      </w:r>
      <w:r w:rsidR="001D2C6E" w:rsidRPr="003400A5">
        <w:t xml:space="preserve">patterns </w:t>
      </w:r>
      <w:r w:rsidR="00CC1DA7" w:rsidRPr="003400A5">
        <w:t>uncovered, before highlighting a number of critical pitfalls that Westminster should be mindful of in Brexit negotiations to reduce the risk of a new initiation of conflict in the region.</w:t>
      </w:r>
      <w:r w:rsidR="001D2C6E" w:rsidRPr="003400A5">
        <w:t xml:space="preserve"> </w:t>
      </w:r>
    </w:p>
    <w:p w14:paraId="007DA5B5" w14:textId="5761B02A" w:rsidR="00203A77" w:rsidRPr="003400A5" w:rsidRDefault="00CC1DA7" w:rsidP="000B02C5">
      <w:pPr>
        <w:pStyle w:val="Heading2"/>
        <w:spacing w:line="480" w:lineRule="auto"/>
        <w:rPr>
          <w:color w:val="auto"/>
        </w:rPr>
      </w:pPr>
      <w:r w:rsidRPr="003400A5">
        <w:rPr>
          <w:color w:val="auto"/>
        </w:rPr>
        <w:t>Ireland, Nort</w:t>
      </w:r>
      <w:r w:rsidR="003400A5" w:rsidRPr="003400A5">
        <w:rPr>
          <w:color w:val="auto"/>
        </w:rPr>
        <w:t>hern Ireland, and the Troubles</w:t>
      </w:r>
    </w:p>
    <w:p w14:paraId="06F2D6CB" w14:textId="458EE8D0" w:rsidR="00F130E9" w:rsidRDefault="00924589" w:rsidP="000B02C5">
      <w:pPr>
        <w:spacing w:line="480" w:lineRule="auto"/>
      </w:pPr>
      <w:r w:rsidRPr="003400A5">
        <w:t xml:space="preserve">The mathematical ecologist turned historian Peter </w:t>
      </w:r>
      <w:proofErr w:type="spellStart"/>
      <w:r w:rsidRPr="003400A5">
        <w:t>Turchin</w:t>
      </w:r>
      <w:proofErr w:type="spellEnd"/>
      <w:r w:rsidRPr="003400A5">
        <w:t xml:space="preserve"> has </w:t>
      </w:r>
      <w:r w:rsidR="0062486B" w:rsidRPr="003400A5">
        <w:t xml:space="preserve">argued that one of the central challenges in the establishment and maintenance of complex, large, hierarchical societies – </w:t>
      </w:r>
      <w:r w:rsidR="006764AA" w:rsidRPr="003400A5">
        <w:t xml:space="preserve">states and </w:t>
      </w:r>
      <w:r w:rsidR="0062486B" w:rsidRPr="003400A5">
        <w:t xml:space="preserve">empires </w:t>
      </w:r>
      <w:r w:rsidR="0062486B">
        <w:t xml:space="preserve">– </w:t>
      </w:r>
      <w:r w:rsidR="006764AA">
        <w:t xml:space="preserve">is </w:t>
      </w:r>
      <w:r w:rsidR="0062486B">
        <w:t xml:space="preserve">the promotion of social cohesiveness across ethnic groups. </w:t>
      </w:r>
      <w:proofErr w:type="spellStart"/>
      <w:r w:rsidR="0062486B">
        <w:t>Turchin</w:t>
      </w:r>
      <w:proofErr w:type="spellEnd"/>
      <w:r w:rsidR="0062486B">
        <w:t xml:space="preserve"> thus suggests that complex societies can emerge only once </w:t>
      </w:r>
      <w:r w:rsidR="0062486B">
        <w:softHyphen/>
      </w:r>
      <w:proofErr w:type="spellStart"/>
      <w:r w:rsidR="0062486B">
        <w:rPr>
          <w:i/>
        </w:rPr>
        <w:t>meta</w:t>
      </w:r>
      <w:r w:rsidR="0062486B">
        <w:rPr>
          <w:i/>
        </w:rPr>
        <w:softHyphen/>
        <w:t>ethnic</w:t>
      </w:r>
      <w:proofErr w:type="spellEnd"/>
      <w:r w:rsidR="0062486B">
        <w:rPr>
          <w:i/>
        </w:rPr>
        <w:t xml:space="preserve"> </w:t>
      </w:r>
      <w:r w:rsidR="0062486B">
        <w:rPr>
          <w:i/>
        </w:rPr>
        <w:softHyphen/>
      </w:r>
      <w:r w:rsidR="0062486B">
        <w:t xml:space="preserve">communities, in which group membership can be readily identified </w:t>
      </w:r>
      <w:r w:rsidR="003D0EC1">
        <w:t xml:space="preserve">through ‘symbolic markers’, have been established and agreed upon. </w:t>
      </w:r>
      <w:proofErr w:type="spellStart"/>
      <w:r w:rsidR="003D0EC1">
        <w:lastRenderedPageBreak/>
        <w:t>Turchin</w:t>
      </w:r>
      <w:proofErr w:type="spellEnd"/>
      <w:r w:rsidR="003D0EC1">
        <w:t xml:space="preserve"> states that the “most commonly used kind of symbolic marker to delineate </w:t>
      </w:r>
      <w:proofErr w:type="spellStart"/>
      <w:r w:rsidR="003D0EC1">
        <w:t>metaethnic</w:t>
      </w:r>
      <w:proofErr w:type="spellEnd"/>
      <w:r w:rsidR="003D0EC1">
        <w:t xml:space="preserve"> communities is religion – particularly, the exclusive, proselytizing kinds such as Christianity or Islam.” </w:t>
      </w:r>
      <w:r w:rsidR="00A30D59">
        <w:fldChar w:fldCharType="begin" w:fldLock="1"/>
      </w:r>
      <w:r w:rsidR="00A30D59">
        <w:instrText>ADDIN CSL_CITATION { "citationItems" : [ { "id" : "ITEM-1", "itemData" : { "ISBN" : "1681-4363", "abstract" : "One of the greatest puzzles of human evolutionary history concerns the how and why of the transition from small-scale, \u2018simple\u2019 socie- ties to large-scale, hierarchically complex ones. This paper re- views theoretical approaches to resolving this puzzle. Our discus- sion integrates ideas and concepts from evolutionary biology, an- thropology, and political science. The evolutionary framework of multilevel selection suggests that complex hierarchies can arise in response to selection imposed by intergroup conflict (warfare). The logical coherency of this theory has been investigated with mathematical models, and its predictions were tested empirically by constructing a database of the largest territorial states in the world (with the focus on the preindustrial era).", "author" : [ { "dropping-particle" : "", "family" : "Turchin", "given" : "Peter", "non-dropping-particle" : "", "parse-names" : false, "suffix" : "" }, { "dropping-particle" : "", "family" : "Gavrilets", "given" : "Sergey", "non-dropping-particle" : "", "parse-names" : false, "suffix" : "" } ], "container-title" : "Social Evolution &amp; History", "id" : "ITEM-1", "issue" : "2", "issued" : { "date-parts" : [ [ "2009" ] ] }, "page" : "167-198", "title" : "Evolution of Complex Hierarchical Societies", "type" : "article-journal", "volume" : "8" }, "uris" : [ "http://www.mendeley.com/documents/?uuid=dcfbe2fd-f303-459d-a9df-236570ec8cfa" ] } ], "mendeley" : { "formattedCitation" : "(Turchin &amp; Gavrilets, 2009)", "plainTextFormattedCitation" : "(Turchin &amp; Gavrilets, 2009)", "previouslyFormattedCitation" : "(Turchin &amp; Gavrilets, 2009)" }, "properties" : { "noteIndex" : 0 }, "schema" : "https://github.com/citation-style-language/schema/raw/master/csl-citation.json" }</w:instrText>
      </w:r>
      <w:r w:rsidR="00A30D59">
        <w:fldChar w:fldCharType="separate"/>
      </w:r>
      <w:r w:rsidR="00A30D59" w:rsidRPr="00A30D59">
        <w:rPr>
          <w:noProof/>
        </w:rPr>
        <w:t>(Turchin &amp; Gavrilets, 2009)</w:t>
      </w:r>
      <w:r w:rsidR="00A30D59">
        <w:fldChar w:fldCharType="end"/>
      </w:r>
      <w:r w:rsidR="00A30D59">
        <w:t xml:space="preserve"> </w:t>
      </w:r>
      <w:r w:rsidR="003D0EC1">
        <w:t xml:space="preserve">[p. 181] Common </w:t>
      </w:r>
      <w:proofErr w:type="spellStart"/>
      <w:r w:rsidR="003D0EC1">
        <w:t>metaethnic</w:t>
      </w:r>
      <w:proofErr w:type="spellEnd"/>
      <w:r w:rsidR="003D0EC1">
        <w:t xml:space="preserve"> identity allows for greater within-group cohesiveness and for the assimilation of otherwise ethnically heterogeneous populations, but where distinct and mutually exclusive </w:t>
      </w:r>
      <w:proofErr w:type="spellStart"/>
      <w:r w:rsidR="003D0EC1">
        <w:t>metaethnic</w:t>
      </w:r>
      <w:proofErr w:type="spellEnd"/>
      <w:r w:rsidR="003D0EC1">
        <w:t xml:space="preserve"> groups are territorially contiguous, </w:t>
      </w:r>
      <w:proofErr w:type="spellStart"/>
      <w:r w:rsidR="003D0EC1" w:rsidRPr="00A30D59">
        <w:t>metaethnic</w:t>
      </w:r>
      <w:proofErr w:type="spellEnd"/>
      <w:r w:rsidR="003D0EC1" w:rsidRPr="00A30D59">
        <w:t xml:space="preserve"> </w:t>
      </w:r>
      <w:r w:rsidR="003D0EC1">
        <w:t>frontiers form</w:t>
      </w:r>
      <w:r w:rsidR="00F130E9">
        <w:t xml:space="preserve">, and at these frontiers competition and conflict between societies is often intense. Catholic religion pre-existed Protestantism, began in Southern Europe, and spread north and west, including to Ireland at Europe’s western periphery. Protestantism then emerged later, from Northern Europe, and spread south and west. The conditions for a </w:t>
      </w:r>
      <w:proofErr w:type="spellStart"/>
      <w:r w:rsidR="00F130E9">
        <w:t>metaethnic</w:t>
      </w:r>
      <w:proofErr w:type="spellEnd"/>
      <w:r w:rsidR="00F130E9">
        <w:t xml:space="preserve"> frontier</w:t>
      </w:r>
      <w:r w:rsidR="00CB6062">
        <w:t xml:space="preserve"> in the island of Ireland</w:t>
      </w:r>
      <w:r w:rsidR="00F130E9">
        <w:t>, demarcated along Catholic-Protestant religious distinction, were thus centuries in the making</w:t>
      </w:r>
      <w:r w:rsidR="00CB6062">
        <w:t xml:space="preserve">. </w:t>
      </w:r>
    </w:p>
    <w:p w14:paraId="331DF0CD" w14:textId="629080E7" w:rsidR="00CB6062" w:rsidRDefault="00CB6062" w:rsidP="000B02C5">
      <w:pPr>
        <w:spacing w:line="480" w:lineRule="auto"/>
      </w:pPr>
      <w:r>
        <w:t xml:space="preserve">Within the political organs of </w:t>
      </w:r>
      <w:r w:rsidR="006764AA">
        <w:t xml:space="preserve">Ireland under the British Empire - </w:t>
      </w:r>
      <w:r>
        <w:t>an imperious, expansionist state united by Protestant identity</w:t>
      </w:r>
      <w:r w:rsidR="006764AA">
        <w:t xml:space="preserve"> -</w:t>
      </w:r>
      <w:r>
        <w:t xml:space="preserve"> positions for Catholics were limited, and there were concerns amongst British imperialists that Ireland could be used as a cultural and potentially military ‘back door’ through which the Catholic Empires could undermine British imperial power and influence. Ireland thus held an ambivalent position within the British Empire, geographically proximate yet culturally distant, a ‘colony within the core’. Many of the patterns of political control and population management developed in the case of Ireland formed a blueprint for </w:t>
      </w:r>
      <w:r w:rsidR="006764AA">
        <w:t xml:space="preserve">later </w:t>
      </w:r>
      <w:r>
        <w:t xml:space="preserve">British colonialism. </w:t>
      </w:r>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Pr="00CB6062">
        <w:rPr>
          <w:noProof/>
        </w:rPr>
        <w:t>(Anderson &amp; O’Dowd, 2007)</w:t>
      </w:r>
      <w:r>
        <w:fldChar w:fldCharType="end"/>
      </w:r>
    </w:p>
    <w:p w14:paraId="46850601" w14:textId="0618AB36" w:rsidR="003426AF" w:rsidRDefault="005E7056" w:rsidP="000B02C5">
      <w:pPr>
        <w:spacing w:line="480" w:lineRule="auto"/>
      </w:pPr>
      <w:r>
        <w:t xml:space="preserve">The </w:t>
      </w:r>
      <w:r w:rsidR="007232AE">
        <w:t xml:space="preserve">Great Famine of the 1840s </w:t>
      </w:r>
      <w:r w:rsidR="006764AA">
        <w:t xml:space="preserve">led </w:t>
      </w:r>
      <w:r w:rsidR="007232AE">
        <w:t xml:space="preserve">to mass emigration and population decline. </w:t>
      </w:r>
      <w:r>
        <w:t>B</w:t>
      </w:r>
      <w:r w:rsidR="007232AE">
        <w:t>y the end of the 19</w:t>
      </w:r>
      <w:r w:rsidR="007232AE" w:rsidRPr="007232AE">
        <w:rPr>
          <w:vertAlign w:val="superscript"/>
        </w:rPr>
        <w:t>th</w:t>
      </w:r>
      <w:r w:rsidR="007232AE">
        <w:t xml:space="preserve"> century the demography and economy of Ireland had shifted to the North East of the island, in particular to the city of Belfast, and the populist Protestant Orange Order had emerged in response to increasing political agitation from Catholic populations for improved voting rights and the return of Irish Home Rule. The backlash to Home Rule from Ulster Unionists led to the establishment of paramilitary organisations by both sides, and a period of civil war which continued with the Great War of 1914, and culminated in the Easter Rising of 1916, in which fifteen Irish </w:t>
      </w:r>
      <w:r w:rsidR="00266368">
        <w:t xml:space="preserve">nationalists launched </w:t>
      </w:r>
      <w:r w:rsidR="00266368">
        <w:lastRenderedPageBreak/>
        <w:t xml:space="preserve">a failed coup attempt and were executed. </w:t>
      </w:r>
      <w:r>
        <w:t>I</w:t>
      </w:r>
      <w:r w:rsidR="00266368">
        <w:t xml:space="preserve">n 1918 Sinn </w:t>
      </w:r>
      <w:proofErr w:type="spellStart"/>
      <w:r w:rsidR="00266368" w:rsidRPr="00266368">
        <w:t>Féin</w:t>
      </w:r>
      <w:proofErr w:type="spellEnd"/>
      <w:r w:rsidR="00266368">
        <w:t xml:space="preserve"> were elected with more than three quarters of Irish seats in Westminster</w:t>
      </w:r>
      <w:r w:rsidR="006764AA">
        <w:t>,</w:t>
      </w:r>
      <w:r w:rsidR="00266368">
        <w:t xml:space="preserve"> civil war intensified, and the paramilitary Irish Republican Army (IRA) fought a guerrilla war into the 1920s. Ireland was partitioned, and a truce was established in 1921. The majority Protestant ‘Southern Ireland’ renamed itself the ‘Irish Free State’ and became an independent state in 1922, leading also </w:t>
      </w:r>
      <w:r w:rsidR="003426AF">
        <w:t xml:space="preserve">to the formation of Northern Ireland in that year as a distinct administrative geography, which voted against Home Rule and to remain a British territory. </w:t>
      </w:r>
    </w:p>
    <w:p w14:paraId="5D2813A9" w14:textId="6479CF10" w:rsidR="003426AF" w:rsidRDefault="003426AF" w:rsidP="000B02C5">
      <w:pPr>
        <w:spacing w:line="480" w:lineRule="auto"/>
      </w:pPr>
      <w:r>
        <w:fldChar w:fldCharType="begin" w:fldLock="1"/>
      </w:r>
      <w:r w:rsidR="005223FE">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00023023" w:rsidRPr="00023023">
        <w:rPr>
          <w:noProof/>
        </w:rPr>
        <w:t>(Anderson &amp; O’Dowd, 2007)</w:t>
      </w:r>
      <w:r>
        <w:fldChar w:fldCharType="end"/>
      </w:r>
      <w:r>
        <w:t xml:space="preserve"> summarise the legacy of the establishment of the Northern Irish border as follows:</w:t>
      </w:r>
    </w:p>
    <w:p w14:paraId="2387C1DA" w14:textId="1B57D829" w:rsidR="005F5990" w:rsidRDefault="003426AF" w:rsidP="000B02C5">
      <w:pPr>
        <w:spacing w:line="480" w:lineRule="auto"/>
        <w:ind w:left="720"/>
      </w:pPr>
      <w:r>
        <w:t xml:space="preserve">Under one-party unionist rule for 50 years, Northern Ireland </w:t>
      </w:r>
      <w:r w:rsidR="006764AA">
        <w:t xml:space="preserve">proved </w:t>
      </w:r>
      <w:r>
        <w:t xml:space="preserve">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out’ by British governments. </w:t>
      </w:r>
      <w:r w:rsidR="005E7056">
        <w:t xml:space="preserve"> […] </w:t>
      </w:r>
      <w:r>
        <w:t>The eruption of ethno-national violence a half-century after partition was part of the imperial legacy. [p. 947]</w:t>
      </w:r>
    </w:p>
    <w:p w14:paraId="4145393A" w14:textId="1BD5AE89" w:rsidR="003426AF" w:rsidRDefault="008D1A01" w:rsidP="000B02C5">
      <w:pPr>
        <w:spacing w:line="480" w:lineRule="auto"/>
      </w:pPr>
      <w:r>
        <w:t xml:space="preserve">In </w:t>
      </w:r>
      <w:r w:rsidR="003426AF">
        <w:t xml:space="preserve">the late 1960s a Catholic protest movement emerged, inspired by the civil rights’ movement in the United States, prompting an often violent Protestant counter-movement opposed to Catholic marches, leading to widespread clashes between sides. </w:t>
      </w:r>
      <w:r>
        <w:t xml:space="preserve">Such </w:t>
      </w:r>
      <w:r w:rsidR="003426AF">
        <w:t xml:space="preserve">clashes could not be controlled by the police forces, and the British Army were mobilised. The IRA was conflicted in its response to both the Army presence and Protestant reprisals, and in 1969 split into the less-militant Official IRA (OIRA), and the more militant Provisional IRA (PIRA). The Army, the OIRA and the PIRA competed to win </w:t>
      </w:r>
      <w:r w:rsidR="003426AF">
        <w:lastRenderedPageBreak/>
        <w:t xml:space="preserve">favour and appear legitimate from the perspective of Catholic communities. Army attempts to disarm Catholic communities, combined with a lack of success defending them, further acted to delegitimise the Army amongst affected Catholic communities. </w:t>
      </w:r>
      <w:r w:rsidR="00975750">
        <w:t>T</w:t>
      </w:r>
      <w:r w:rsidR="003426AF">
        <w:t>he PIRA then began attacking the Army in 1971</w:t>
      </w:r>
      <w:r>
        <w:t xml:space="preserve">, and internment </w:t>
      </w:r>
      <w:r w:rsidR="003426AF">
        <w:t>swiftly followed</w:t>
      </w:r>
      <w:r w:rsidR="006764AA">
        <w:t>,</w:t>
      </w:r>
      <w:r w:rsidR="003426AF">
        <w:t xml:space="preserve"> leading to protests in which 23 people died</w:t>
      </w:r>
      <w:r w:rsidR="006764AA">
        <w:t>;</w:t>
      </w:r>
      <w:r w:rsidR="003426AF">
        <w:t xml:space="preserve"> </w:t>
      </w:r>
      <w:r w:rsidR="006764AA">
        <w:t xml:space="preserve">army </w:t>
      </w:r>
      <w:r w:rsidR="003426AF">
        <w:t xml:space="preserve">troop numbers increased, and PIRA bombings and killings intensified. </w:t>
      </w:r>
      <w:r w:rsidR="006C78A1">
        <w:t>After</w:t>
      </w:r>
      <w:r w:rsidR="003426AF">
        <w:t xml:space="preserve"> internment</w:t>
      </w:r>
      <w:r w:rsidR="006C78A1">
        <w:t>,</w:t>
      </w:r>
      <w:r w:rsidR="003426AF">
        <w:t xml:space="preserve"> amity then further increased through the deployment and actions of the Parachute Regiment (‘the Paras’)</w:t>
      </w:r>
      <w:r w:rsidR="000B02C5">
        <w:t xml:space="preserve">, </w:t>
      </w:r>
      <w:r w:rsidR="003426AF">
        <w:t xml:space="preserve">who </w:t>
      </w:r>
      <w:r w:rsidR="003426AF" w:rsidRPr="00A30D59">
        <w:t>faced a 7,000-strong Catholic civil rights march on 13 January 1972, ‘Bloody Sunday’, and shot dead 14 people later found to be unarmed. This event, more than any other, can be seen to have ignited the decades of sectarian conflict that followed.</w:t>
      </w:r>
      <w:r w:rsidR="00A30D59">
        <w:t xml:space="preserve"> </w:t>
      </w:r>
      <w:r w:rsidR="00A30D59">
        <w:fldChar w:fldCharType="begin" w:fldLock="1"/>
      </w:r>
      <w:r w:rsidR="00A30D59">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"id" : "ITEM-2",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"ITEM-2",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"(Gerike et al., 2016; Thornton, 2007)", "plainTextFormattedCitation" : "(Gerike et al., 2016; Thornton, 2007)", "previouslyFormattedCitation" : "(Gerike et al., 2016; Thornton, 2007)" }, "properties" : { "noteIndex" : 0 }, "schema" : "https://github.com/citation-style-language/schema/raw/master/csl-citation.json" }</w:instrText>
      </w:r>
      <w:r w:rsidR="00A30D59">
        <w:fldChar w:fldCharType="separate"/>
      </w:r>
      <w:r w:rsidR="00A30D59" w:rsidRPr="00A30D59">
        <w:rPr>
          <w:noProof/>
        </w:rPr>
        <w:t>(Gerike et al., 2016; Thornton, 2007)</w:t>
      </w:r>
      <w:r w:rsidR="00A30D59">
        <w:fldChar w:fldCharType="end"/>
      </w:r>
    </w:p>
    <w:p w14:paraId="20C047FF" w14:textId="681F9BF3" w:rsidR="001840AD" w:rsidRPr="00A30D59" w:rsidRDefault="001840AD" w:rsidP="001840AD">
      <w:pPr>
        <w:pStyle w:val="Heading2"/>
        <w:spacing w:line="480" w:lineRule="auto"/>
        <w:rPr>
          <w:color w:val="auto"/>
        </w:rPr>
      </w:pPr>
      <w:r>
        <w:rPr>
          <w:color w:val="auto"/>
        </w:rPr>
        <w:t>Operationalising an impulse-decay pattern in death rates</w:t>
      </w:r>
    </w:p>
    <w:p w14:paraId="677F7BE1" w14:textId="433DCF21" w:rsidR="001840AD" w:rsidRPr="00A30D59" w:rsidRDefault="001840AD" w:rsidP="000B02C5">
      <w:pPr>
        <w:spacing w:line="480" w:lineRule="auto"/>
      </w:pPr>
      <w:r>
        <w:t>Within the following model, a ‘Troubles’ parameter, T(t), will be introduced which aims to represent a particular form of mortality risk change that appears consistent with both domain knowledge of this history of the conflict as described above, and also the particular pattern of change in age-specific mortality as shown below. This parameter operationalises the concept that the Troubles followed a single impulse-decay pattern over time, with events in the years prior to 1972 leading to a tipping point, an initiation in sectarian conflict that, once initiated, was then sustaine</w:t>
      </w:r>
      <w:r w:rsidR="00657D70">
        <w:t>d through tit-for-tat violence</w:t>
      </w:r>
      <w:r w:rsidR="00EB4CAE">
        <w:t>, as might be expected in sectarian conflict in which violence from one side is likely to be met with reprisal attacks from the other side</w:t>
      </w:r>
      <w:r w:rsidR="00657D70">
        <w:t xml:space="preserve">. Visually, this </w:t>
      </w:r>
      <w:r>
        <w:t xml:space="preserve">a change in </w:t>
      </w:r>
      <w:r w:rsidR="00EB4CAE">
        <w:t>underlying conflict intensity is shown in figure 2a below, in which there is first a sudden increase in intensity, followed by a slow decay in this intensity over time.</w:t>
      </w:r>
    </w:p>
    <w:p w14:paraId="23599178" w14:textId="2087D06C" w:rsidR="00F1537E" w:rsidRPr="00A30D59" w:rsidRDefault="00CC1DA7" w:rsidP="000B02C5">
      <w:pPr>
        <w:pStyle w:val="Heading2"/>
        <w:spacing w:line="480" w:lineRule="auto"/>
        <w:rPr>
          <w:color w:val="auto"/>
        </w:rPr>
      </w:pPr>
      <w:r w:rsidRPr="00A30D59">
        <w:rPr>
          <w:color w:val="auto"/>
        </w:rPr>
        <w:t xml:space="preserve">Data and </w:t>
      </w:r>
      <w:r w:rsidR="00F1537E" w:rsidRPr="00A30D59">
        <w:rPr>
          <w:color w:val="auto"/>
        </w:rPr>
        <w:t xml:space="preserve">Methods </w:t>
      </w:r>
    </w:p>
    <w:p w14:paraId="354E3D0E" w14:textId="5C16FD31" w:rsidR="00500E6F" w:rsidRDefault="00842964" w:rsidP="000B02C5">
      <w:pPr>
        <w:spacing w:line="480" w:lineRule="auto"/>
      </w:pPr>
      <w:r w:rsidRPr="00A30D59">
        <w:t>Data on all-cause mortality and population size, disaggregated by gender, age in single years and year</w:t>
      </w:r>
      <w:r>
        <w:t xml:space="preserve">, were extracted from the Human Mortality Database (HMD). </w:t>
      </w:r>
      <w:r w:rsidR="006D095E">
        <w:fldChar w:fldCharType="begin" w:fldLock="1"/>
      </w:r>
      <w:r w:rsidR="006D095E">
        <w:instrText>ADDIN CSL_CITATION { "citationItems" : [ { "id" : "ITEM-1", "itemData" : { "URL" : "www.mortality.org", "accessed" : { "date-parts" : [ [ "2017", "6", "13" ] ] }, "author" : [ { "dropping-particle" : "", "family" : "University of California", "given" : "Berkeley (USA); Max Plank Institute for Demographic Research (Germany)", "non-dropping-particle" : "", "parse-names" : false, "suffix" : "" } ], "id" : "ITEM-1", "issued" : { "date-parts" : [ [ "2017" ] ] }, "title" : "Human Mortality Database", "type" : "webpage" }, "uris" : [ "http://www.mendeley.com/documents/?uuid=58f3b93d-f91e-4ac6-a981-7aa46d2d4863" ] } ], "mendeley" : { "formattedCitation" : "(University of California, 2017)", "plainTextFormattedCitation" : "(University of California, 2017)", "previouslyFormattedCitation" : "(University of California, 2017)" }, "properties" : { "noteIndex" : 0 }, "schema" : "https://github.com/citation-style-language/schema/raw/master/csl-citation.json" }</w:instrText>
      </w:r>
      <w:r w:rsidR="006D095E">
        <w:fldChar w:fldCharType="separate"/>
      </w:r>
      <w:r w:rsidR="006D095E" w:rsidRPr="006D095E">
        <w:rPr>
          <w:noProof/>
        </w:rPr>
        <w:t>(University of California, 2017)</w:t>
      </w:r>
      <w:r w:rsidR="006D095E">
        <w:fldChar w:fldCharType="end"/>
      </w:r>
      <w:r w:rsidR="006D095E">
        <w:t xml:space="preserve"> </w:t>
      </w:r>
      <w:r>
        <w:t xml:space="preserve">Mortality rates were calculated by dividing death counts by population exposure (adjusted </w:t>
      </w:r>
      <w:r>
        <w:lastRenderedPageBreak/>
        <w:t xml:space="preserve">population counts). </w:t>
      </w:r>
      <w:r w:rsidR="00500E6F">
        <w:t xml:space="preserve">All data management and analyses were performed using the R statistical programming environment. </w:t>
      </w:r>
      <w:r w:rsidR="006D095E">
        <w:fldChar w:fldCharType="begin" w:fldLock="1"/>
      </w:r>
      <w:r w:rsidR="006D095E">
        <w:instrText>ADDIN CSL_CITATION { "citationItems" : [ { "id" : "ITEM-1", "itemData" : { "author" : [ { "dropping-particle" : "", "family" : "R Core Team", "given" : "", "non-dropping-particle" : "", "parse-names" : false, "suffix" : "" } ], "id" : "ITEM-1", "issued" : { "date-parts" : [ [ "2016" ] ] }, "number" : "3.3.0", "publisher" : "Foundation for Statistical Computing,", "publisher-place" : "Vienna, Austria", "title" : "R: A language and environment for statistical computing", "type" : "article" }, "uris" : [ "http://www.mendeley.com/documents/?uuid=4e7b17cd-0633-4dae-9200-f8d0ec01c485" ] } ], "mendeley" : { "formattedCitation" : "(R Core Team, 2016)", "plainTextFormattedCitation" : "(R Core Team, 2016)", "previouslyFormattedCitation" : "(R Core Team, 2016)" }, "properties" : { "noteIndex" : 0 }, "schema" : "https://github.com/citation-style-language/schema/raw/master/csl-citation.json" }</w:instrText>
      </w:r>
      <w:r w:rsidR="006D095E">
        <w:fldChar w:fldCharType="separate"/>
      </w:r>
      <w:r w:rsidR="006D095E" w:rsidRPr="006D095E">
        <w:rPr>
          <w:noProof/>
        </w:rPr>
        <w:t>(R Core Team, 2016)</w:t>
      </w:r>
      <w:r w:rsidR="006D095E">
        <w:fldChar w:fldCharType="end"/>
      </w:r>
    </w:p>
    <w:p w14:paraId="3AE0F486" w14:textId="0831D0B7" w:rsidR="00500E6F" w:rsidRDefault="00500E6F" w:rsidP="000B02C5">
      <w:pPr>
        <w:spacing w:line="480" w:lineRule="auto"/>
      </w:pPr>
      <w:r>
        <w:t>In the first stage of the analysis</w:t>
      </w:r>
      <w:r w:rsidR="00842964">
        <w:t>, mortality rates by age and year were explored visually using level</w:t>
      </w:r>
      <w:r>
        <w:t xml:space="preserve"> </w:t>
      </w:r>
      <w:r w:rsidR="00842964">
        <w:t xml:space="preserve">plots in which each column is a different year, each row a different age, and each cell is a mortality rate </w:t>
      </w:r>
      <w:r>
        <w:t xml:space="preserve">or log mortality rate </w:t>
      </w:r>
      <w:r w:rsidR="00842964">
        <w:t xml:space="preserve">for a specific </w:t>
      </w:r>
      <w:r>
        <w:t xml:space="preserve">combination of year and age in single years. This arrangement is known as a Lexis surface. </w:t>
      </w:r>
      <w:r w:rsidR="006D095E">
        <w:fldChar w:fldCharType="begin" w:fldLock="1"/>
      </w:r>
      <w:r w:rsidR="00A96270">
        <w: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\u00a9 2014 Elsevier Ltd.", "author" : [ { "dropping-particle" : "", "family" : "Minton", "given" : "Jonathan", "non-dropping-particle" : "", "parse-names" : false, "suffix" : "" } ], "container-title" : "Spatial and Spatio-temporal Epidemiology", "id" : "ITEM-1", "issued" : { "date-parts" : [ [ "2014" ] ] }, "page" : "49-66", "title" : "Real geographies and virtual landscapes: Exploring the influence on place and space on mortality Lexis surfaces using shaded contour maps", "type" : "article-journal", "volume" : "10" }, "uris" : [ "http://www.mendeley.com/documents/?uuid=bf336db6-b374-4b11-bea8-b2772f74d9f8" ] }, { "id" : "ITEM-2", "itemData" : { "ISBN" : "8778383382", "author" : [ { "dropping-particle" : "", "family" : "Vaupel", "given" : "J. W.", "non-dropping-particle" : "", "parse-names" : false, "suffix" : "" }, { "dropping-particle" : "", "family" : "Wang", "given" : "Z.", "non-dropping-particle" : "", "parse-names" : false, "suffix" : "" }, { "dropping-particle" : "", "family" : "Andreev", "given" : "K.", "non-dropping-particle" : "", "parse-names" : false, "suffix" : "" }, { "dropping-particle" : "", "family" : "Yashin", "given" : "A. I.", "non-dropping-particle" : "", "parse-names" : false, "suffix" : "" } ], "collection-title" : "Odense Monographis on Population Ageing", "id" : "ITEM-2", "issued" : { "date-parts" : [ [ "1997" ] ] }, "number" : "Volume Four", "publisher" : "University Press of Southern Denmark", "title" : "Population Data at a Glance: Shaded Contour Maps of Demographic Surfaces over Age and Time", "type" : "book" }, "uris" : [ "http://www.mendeley.com/documents/?uuid=84ac875b-72f1-4685-87d8-5a5f233468cc" ] } ], "mendeley" : { "formattedCitation" : "(Jonathan Minton, 2014; Vaupel, Wang, Andreev, &amp; Yashin, 1997)", "plainTextFormattedCitation" : "(Jonathan Minton, 2014; Vaupel, Wang, Andreev, &amp; Yashin, 1997)", "previouslyFormattedCitation" : "(Jonathan Minton, 2014; Vaupel, Wang, Andreev, &amp; Yashin, 1997)" }, "properties" : { "noteIndex" : 0 }, "schema" : "https://github.com/citation-style-language/schema/raw/master/csl-citation.json" }</w:instrText>
      </w:r>
      <w:r w:rsidR="006D095E">
        <w:fldChar w:fldCharType="separate"/>
      </w:r>
      <w:r w:rsidR="009140E4" w:rsidRPr="009140E4">
        <w:rPr>
          <w:noProof/>
        </w:rPr>
        <w:t>(Jonathan Minton, 2014; Vaupel, Wang, Andreev, &amp; Yashin, 1997)</w:t>
      </w:r>
      <w:r w:rsidR="006D095E">
        <w:fldChar w:fldCharType="end"/>
      </w:r>
    </w:p>
    <w:p w14:paraId="3E2E73E6" w14:textId="180EF47D" w:rsidR="00F1537E" w:rsidRDefault="00500E6F" w:rsidP="000B02C5">
      <w:pPr>
        <w:spacing w:line="480" w:lineRule="auto"/>
      </w:pPr>
      <w:r>
        <w:t xml:space="preserve">In the second stage of the analysis, level plots for males aged between 15 and 45 years inclusive </w:t>
      </w:r>
      <w:r w:rsidR="0049186E">
        <w:t xml:space="preserve">were </w:t>
      </w:r>
      <w:r>
        <w:t>pr</w:t>
      </w:r>
      <w:r w:rsidR="0049186E">
        <w:t xml:space="preserve">oduced. This gender and age range was focused on as </w:t>
      </w:r>
      <w:r>
        <w:t>a mortality pattern that appears attributable to the conflict post 1972 appears very clearly</w:t>
      </w:r>
      <w:r w:rsidR="0049186E">
        <w:t xml:space="preserve"> for this group</w:t>
      </w:r>
      <w:r>
        <w:t xml:space="preserve">, whereas in females and males at other ages no similar pattern is apparent. </w:t>
      </w:r>
    </w:p>
    <w:p w14:paraId="498E5C27" w14:textId="37896B20" w:rsidR="0049186E" w:rsidRDefault="0049186E" w:rsidP="000B02C5">
      <w:pPr>
        <w:spacing w:line="480" w:lineRule="auto"/>
      </w:pPr>
      <w:r>
        <w:t>In the third stage of the analysis, a model was developed which aims to reproduce the main features of the level plot of mortality values over this Lexis surface, in which conflict-attributable pattern of excess deaths is modelled as a separate variable. The final model specification was developed by comparing the penalised model fit of different model specifications using AIC and BIC, as well as t</w:t>
      </w:r>
      <w:r w:rsidR="006D78AC">
        <w:t xml:space="preserve">he root mean square (RMS) error, and by visually exploring both the Lexis surfaces of predicted values, and of residuals (differences between predicted and actual values) to assess whether the model appears to capture the most salient features of the Lexis surface of the data itself. </w:t>
      </w:r>
      <w:r w:rsidR="006D095E">
        <w:fldChar w:fldCharType="begin" w:fldLock="1"/>
      </w:r>
      <w:r w:rsidR="009140E4">
        <w:instrText>ADDIN CSL_CITATION { "citationItems" : [ { "id" : "ITEM-1", "itemData" : { "DOI" : "10.1109/TAC.1974.1100705", "ISSN" : "0018-9286", "author" : [ { "dropping-particle" : "", "family" : "Akaike", "given" : "H.", "non-dropping-particle" : "", "parse-names" : false, "suffix" : "" } ], "container-title" : "IEEE Transactions on Automatic Control", "id" : "ITEM-1", "issue" : "6", "issued" : { "date-parts" : [ [ "1974", "12" ] ] }, "page" : "716-723", "title" : "A new look at the statistical model identification", "type" : "article-journal", "volume" : "19" }, "uris" : [ "http://www.mendeley.com/documents/?uuid=e8164473-8c0b-4256-b6eb-b7b40a4a26d4" ] } ], "mendeley" : { "formattedCitation" : "(Akaike, 1974)", "plainTextFormattedCitation" : "(Akaike, 1974)", "previouslyFormattedCitation" : "(Akaike, 1974)" }, "properties" : { "noteIndex" : 0 }, "schema" : "https://github.com/citation-style-language/schema/raw/master/csl-citation.json" }</w:instrText>
      </w:r>
      <w:r w:rsidR="006D095E">
        <w:fldChar w:fldCharType="separate"/>
      </w:r>
      <w:r w:rsidR="006D095E" w:rsidRPr="006D095E">
        <w:rPr>
          <w:noProof/>
        </w:rPr>
        <w:t>(Akaike, 1974)</w:t>
      </w:r>
      <w:r w:rsidR="006D095E">
        <w:fldChar w:fldCharType="end"/>
      </w:r>
      <w:r w:rsidR="006D095E">
        <w:t xml:space="preserve"> </w:t>
      </w:r>
      <w:r w:rsidR="006D78AC">
        <w:t xml:space="preserve">The </w:t>
      </w:r>
      <w:r w:rsidR="005D4F12">
        <w:t>model specification is as follows</w:t>
      </w:r>
      <w:r w:rsidR="007029A2">
        <w:t>:</w:t>
      </w:r>
    </w:p>
    <w:p w14:paraId="39394AFF" w14:textId="69EBFFF6" w:rsidR="005D4F12" w:rsidRPr="005D4F12" w:rsidRDefault="00445BCD" w:rsidP="000B02C5">
      <w:pPr>
        <w:spacing w:line="480" w:lineRule="auto"/>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0, i</m:t>
              </m:r>
            </m:sub>
            <m:sup>
              <m:d>
                <m:dPr>
                  <m:ctrlPr>
                    <w:rPr>
                      <w:rFonts w:ascii="Cambria Math" w:hAnsi="Cambria Math"/>
                      <w:i/>
                    </w:rPr>
                  </m:ctrlPr>
                </m:dPr>
                <m:e>
                  <m:r>
                    <w:rPr>
                      <w:rFonts w:ascii="Cambria Math" w:hAnsi="Cambria Math"/>
                    </w:rPr>
                    <m:t>P</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1, i</m:t>
              </m:r>
            </m:sub>
            <m:sup>
              <m:d>
                <m:dPr>
                  <m:ctrlPr>
                    <w:rPr>
                      <w:rFonts w:ascii="Cambria Math" w:hAnsi="Cambria Math"/>
                      <w:i/>
                    </w:rPr>
                  </m:ctrlPr>
                </m:dPr>
                <m:e>
                  <m:r>
                    <w:rPr>
                      <w:rFonts w:ascii="Cambria Math" w:hAnsi="Cambria Math"/>
                    </w:rPr>
                    <m:t>P</m:t>
                  </m:r>
                </m:e>
              </m:d>
            </m:sup>
          </m:sSubSup>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2,i</m:t>
              </m:r>
            </m:sub>
          </m:sSub>
          <m:r>
            <w:rPr>
              <w:rFonts w:ascii="Cambria Math" w:hAnsi="Cambria Math"/>
            </w:rPr>
            <m:t>T</m:t>
          </m:r>
          <m:d>
            <m:dPr>
              <m:ctrlPr>
                <w:rPr>
                  <w:rFonts w:ascii="Cambria Math" w:hAnsi="Cambria Math"/>
                  <w:i/>
                </w:rPr>
              </m:ctrlPr>
            </m:dPr>
            <m:e>
              <m:r>
                <w:rPr>
                  <w:rFonts w:ascii="Cambria Math" w:hAnsi="Cambria Math"/>
                </w:rPr>
                <m:t>t</m:t>
              </m:r>
            </m:e>
          </m:d>
        </m:oMath>
      </m:oMathPara>
    </w:p>
    <w:p w14:paraId="158813DC" w14:textId="29B86CB8" w:rsidR="005D4F12" w:rsidRPr="005D4F12" w:rsidRDefault="005D4F12" w:rsidP="000B02C5">
      <w:pPr>
        <w:spacing w:line="480" w:lineRule="auto"/>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(t-1972)</m:t>
              </m:r>
            </m:sup>
          </m:sSup>
          <m:r>
            <w:rPr>
              <w:rFonts w:ascii="Cambria Math" w:eastAsiaTheme="minorEastAsia" w:hAnsi="Cambria Math"/>
            </w:rPr>
            <m:t xml:space="preserve"> IFF t≥1972;0 otherwise</m:t>
          </m:r>
        </m:oMath>
      </m:oMathPara>
    </w:p>
    <w:p w14:paraId="6DC7AAC5" w14:textId="07A9E75F" w:rsidR="007B2477" w:rsidRDefault="007029A2" w:rsidP="000B02C5">
      <w:pPr>
        <w:spacing w:line="480" w:lineRule="auto"/>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indicates the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oMath>
      <w:r>
        <w:rPr>
          <w:rFonts w:eastAsiaTheme="minorEastAsia"/>
        </w:rPr>
        <w:t xml:space="preserve"> mortality rate for males of age </w:t>
      </w:r>
      <m:oMath>
        <m:r>
          <w:rPr>
            <w:rFonts w:ascii="Cambria Math" w:hAnsi="Cambria Math"/>
          </w:rPr>
          <m:t>i</m:t>
        </m:r>
      </m:oMath>
      <w:r>
        <w:rPr>
          <w:rFonts w:eastAsiaTheme="minorEastAsia"/>
        </w:rPr>
        <w:t xml:space="preserve"> in year </w:t>
      </w:r>
      <m:oMath>
        <m:r>
          <w:rPr>
            <w:rFonts w:ascii="Cambria Math" w:hAnsi="Cambria Math"/>
          </w:rPr>
          <m:t>t</m:t>
        </m:r>
      </m:oMath>
      <w:r>
        <w:rPr>
          <w:rFonts w:eastAsiaTheme="minorEastAsia"/>
        </w:rPr>
        <w:t xml:space="preserve">, the superscript </w:t>
      </w:r>
      <m:oMath>
        <m:d>
          <m:dPr>
            <m:ctrlPr>
              <w:rPr>
                <w:rFonts w:ascii="Cambria Math" w:hAnsi="Cambria Math"/>
                <w:i/>
              </w:rPr>
            </m:ctrlPr>
          </m:dPr>
          <m:e>
            <m:r>
              <w:rPr>
                <w:rFonts w:ascii="Cambria Math" w:hAnsi="Cambria Math"/>
              </w:rPr>
              <m:t>P</m:t>
            </m:r>
          </m:e>
        </m:d>
      </m:oMath>
      <w:r>
        <w:rPr>
          <w:rFonts w:eastAsiaTheme="minorEastAsia"/>
        </w:rPr>
        <w:t xml:space="preserve"> indicates which of three distinct phases in morta</w:t>
      </w:r>
      <w:proofErr w:type="spellStart"/>
      <w:r>
        <w:rPr>
          <w:rFonts w:eastAsiaTheme="minorEastAsia"/>
        </w:rPr>
        <w:t>lity</w:t>
      </w:r>
      <w:proofErr w:type="spellEnd"/>
      <w:r>
        <w:rPr>
          <w:rFonts w:eastAsiaTheme="minorEastAsia"/>
        </w:rPr>
        <w:t xml:space="preserve"> improvement to which year </w:t>
      </w:r>
      <m:oMath>
        <m:r>
          <w:rPr>
            <w:rFonts w:ascii="Cambria Math" w:hAnsi="Cambria Math"/>
          </w:rPr>
          <m:t>t</m:t>
        </m:r>
      </m:oMath>
      <w:r>
        <w:rPr>
          <w:rFonts w:eastAsiaTheme="minorEastAsia"/>
        </w:rPr>
        <w:t xml:space="preserve"> belongs, and </w:t>
      </w:r>
      <m:oMath>
        <m:sSup>
          <m:sSupPr>
            <m:ctrlPr>
              <w:rPr>
                <w:rFonts w:ascii="Cambria Math" w:hAnsi="Cambria Math"/>
                <w:i/>
              </w:rPr>
            </m:ctrlPr>
          </m:sSupPr>
          <m:e>
            <m:r>
              <w:rPr>
                <w:rFonts w:ascii="Cambria Math" w:hAnsi="Cambria Math"/>
              </w:rPr>
              <m:t>t</m:t>
            </m:r>
          </m:e>
          <m:sup>
            <m:r>
              <w:rPr>
                <w:rFonts w:ascii="Cambria Math" w:hAnsi="Cambria Math"/>
              </w:rPr>
              <m:t>(P)</m:t>
            </m:r>
          </m:sup>
        </m:sSup>
      </m:oMath>
      <w:r>
        <w:rPr>
          <w:rFonts w:eastAsiaTheme="minorEastAsia"/>
        </w:rPr>
        <w:t xml:space="preserve"> indicates the number of years since the start of the mortality improvement phase to which year </w:t>
      </w:r>
      <m:oMath>
        <m:r>
          <w:rPr>
            <w:rFonts w:ascii="Cambria Math" w:hAnsi="Cambria Math"/>
          </w:rPr>
          <m:t>t</m:t>
        </m:r>
      </m:oMath>
      <w:r>
        <w:rPr>
          <w:rFonts w:eastAsiaTheme="minorEastAsia"/>
        </w:rPr>
        <w:t xml:space="preserve"> belongs. </w:t>
      </w:r>
      <w:r w:rsidR="00AD3D51">
        <w:rPr>
          <w:rFonts w:eastAsiaTheme="minorEastAsia"/>
        </w:rPr>
        <w:t xml:space="preserve">(Phase 3 was the ‘reference period’ in the regressions used.) </w:t>
      </w:r>
      <w:r w:rsidR="007B2477">
        <w:rPr>
          <w:rFonts w:eastAsiaTheme="minorEastAsia"/>
        </w:rPr>
        <w:t xml:space="preserve">The three mortality </w:t>
      </w:r>
      <w:r w:rsidR="007B2477">
        <w:rPr>
          <w:rFonts w:eastAsiaTheme="minorEastAsia"/>
        </w:rPr>
        <w:lastRenderedPageBreak/>
        <w:t xml:space="preserve">improvement phases, identified through visual exploration of the Lexis surfaces, are: Phase One: 1922 to 1938 inclusive; Phase Two: 1939 to 1955 inclusive; and Phase Three: 1956 and later. Within these three phases, the rate of age specific mortality improvement tended to be greatest in Phase Two (1939 to 1955), despite this period including World War Two. </w:t>
      </w:r>
    </w:p>
    <w:p w14:paraId="4E69A5E8" w14:textId="54E93EC7" w:rsidR="005D4F12" w:rsidRDefault="007029A2" w:rsidP="000B02C5">
      <w:pPr>
        <w:spacing w:line="480" w:lineRule="auto"/>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function which models the mortality effect of the conflict. It assumes that the additional mortality effect is greatest in the first year of the conflict, then decays exponentially with each subsequent year. The rate of decay in additional mortality is modelled using the </w:t>
      </w:r>
      <w:proofErr w:type="gramStart"/>
      <w:r>
        <w:rPr>
          <w:rFonts w:eastAsiaTheme="minorEastAsia"/>
        </w:rPr>
        <w:t xml:space="preserve">parameter </w:t>
      </w:r>
      <w:proofErr w:type="gramEnd"/>
      <m:oMath>
        <m:r>
          <w:rPr>
            <w:rFonts w:ascii="Cambria Math" w:eastAsiaTheme="minorEastAsia" w:hAnsi="Cambria Math"/>
          </w:rPr>
          <m:t>k</m:t>
        </m:r>
      </m:oMath>
      <w:r w:rsidR="007B2477">
        <w:rPr>
          <w:rFonts w:eastAsiaTheme="minorEastAsia"/>
        </w:rPr>
        <w:t>, and can have any value from 0 to 1 inclusive</w:t>
      </w:r>
      <w:r>
        <w:rPr>
          <w:rFonts w:eastAsiaTheme="minorEastAsia"/>
        </w:rPr>
        <w:t xml:space="preserve">. In the fourth phase of the analysis, </w:t>
      </w:r>
      <w:r w:rsidR="007B2477">
        <w:rPr>
          <w:rFonts w:eastAsiaTheme="minorEastAsia"/>
        </w:rPr>
        <w:t xml:space="preserve">numerical optimisation is used to select k such that AIC (penalised model fit) is minimised. Given </w:t>
      </w:r>
      <m:oMath>
        <m:r>
          <w:rPr>
            <w:rFonts w:ascii="Cambria Math" w:eastAsiaTheme="minorEastAsia" w:hAnsi="Cambria Math"/>
          </w:rPr>
          <m:t>k</m:t>
        </m:r>
      </m:oMath>
      <w:r w:rsidR="000E2BEA">
        <w:rPr>
          <w:rFonts w:eastAsiaTheme="minorEastAsia"/>
        </w:rPr>
        <w:t>, the ‘half life’ of the conflict, i.e. number of years it takes for the additional</w:t>
      </w:r>
      <w:r w:rsidR="00B03DB4">
        <w:rPr>
          <w:rFonts w:eastAsiaTheme="minorEastAsia"/>
        </w:rPr>
        <w:t xml:space="preserve"> log</w:t>
      </w:r>
      <w:r w:rsidR="000E2BEA">
        <w:rPr>
          <w:rFonts w:eastAsiaTheme="minorEastAsia"/>
        </w:rPr>
        <w:t xml:space="preserve"> mortality risk to fall by half, can also be calculated using the formula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(1-k)</m:t>
                </m:r>
              </m:e>
            </m:func>
          </m:den>
        </m:f>
      </m:oMath>
      <w:r w:rsidR="000E2BEA">
        <w:rPr>
          <w:rFonts w:eastAsiaTheme="minorEastAsia"/>
        </w:rPr>
        <w:t xml:space="preserve">. </w:t>
      </w:r>
    </w:p>
    <w:p w14:paraId="627D9036" w14:textId="6DA083EE" w:rsidR="007B2477" w:rsidRPr="00A30D59" w:rsidRDefault="007B2477" w:rsidP="000B02C5">
      <w:pPr>
        <w:spacing w:line="480" w:lineRule="auto"/>
        <w:rPr>
          <w:rFonts w:eastAsiaTheme="minorEastAsia"/>
        </w:rPr>
      </w:pPr>
      <w:r>
        <w:rPr>
          <w:rFonts w:eastAsiaTheme="minorEastAsia"/>
        </w:rPr>
        <w:t xml:space="preserve">Finally, in the fifth phase of the analysis, the numbers of deaths at each age and in each year are estimated by applying the model’s predicted mortality risks to the populations exposed to these </w:t>
      </w:r>
      <w:r w:rsidR="000E2BEA">
        <w:rPr>
          <w:rFonts w:eastAsiaTheme="minorEastAsia"/>
        </w:rPr>
        <w:t>risks</w:t>
      </w:r>
      <w:r w:rsidR="00C371AF">
        <w:rPr>
          <w:rFonts w:eastAsiaTheme="minorEastAsia"/>
        </w:rPr>
        <w:t>, i.e</w:t>
      </w:r>
      <w:proofErr w:type="gramStart"/>
      <w:r w:rsidR="00C371AF">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oMath>
      <w:r w:rsidR="00C371AF">
        <w:rPr>
          <w:rFonts w:eastAsiaTheme="minorEastAsia"/>
        </w:rPr>
        <w:t xml:space="preserve"> is the number of deaths at age</w:t>
      </w:r>
      <m:oMath>
        <m:r>
          <w:rPr>
            <w:rFonts w:ascii="Cambria Math" w:eastAsiaTheme="minorEastAsia" w:hAnsi="Cambria Math"/>
          </w:rPr>
          <m:t xml:space="preserve"> i</m:t>
        </m:r>
      </m:oMath>
      <w:r w:rsidR="00C371AF">
        <w:rPr>
          <w:rFonts w:eastAsiaTheme="minorEastAsia"/>
        </w:rPr>
        <w:t xml:space="preserve"> and in year </w:t>
      </w:r>
      <m:oMath>
        <m:r>
          <w:rPr>
            <w:rFonts w:ascii="Cambria Math" w:eastAsiaTheme="minorEastAsia" w:hAnsi="Cambria Math"/>
          </w:rPr>
          <m:t>t</m:t>
        </m:r>
      </m:oMath>
      <w:r w:rsidR="00C371AF">
        <w:rPr>
          <w:rFonts w:eastAsiaTheme="minorEastAsia"/>
        </w:rPr>
        <w:t xml:space="preserve"> under the active conflict scenario A,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indicates the size of the population at this age and in this </w:t>
      </w:r>
      <w:r w:rsidR="00C371AF" w:rsidRPr="00A30D59">
        <w:rPr>
          <w:rFonts w:eastAsiaTheme="minorEastAsia"/>
        </w:rPr>
        <w:t>year exposed to the mortality risk</w:t>
      </w:r>
      <w:r w:rsidR="000E2BEA" w:rsidRPr="00A30D59">
        <w:rPr>
          <w:rFonts w:eastAsiaTheme="minorEastAsia"/>
        </w:rPr>
        <w:t xml:space="preserve">. A counterfactual surface of risks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(t)</m:t>
        </m:r>
      </m:oMath>
      <w:r w:rsidR="00C371AF" w:rsidRPr="00A30D59">
        <w:rPr>
          <w:rFonts w:eastAsiaTheme="minorEastAsia"/>
        </w:rPr>
        <w:t xml:space="preserve"> </w:t>
      </w:r>
      <w:r w:rsidR="000E2BEA" w:rsidRPr="00A30D59">
        <w:rPr>
          <w:rFonts w:eastAsiaTheme="minorEastAsia"/>
        </w:rPr>
        <w:t xml:space="preserve">is modelled by setting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0E2BEA" w:rsidRPr="00A30D59">
        <w:rPr>
          <w:rFonts w:eastAsiaTheme="minorEastAsia"/>
        </w:rPr>
        <w:t xml:space="preserve"> to 0 in all years</w:t>
      </w:r>
      <w:r w:rsidR="00C371AF" w:rsidRPr="00A30D59">
        <w:rPr>
          <w:rFonts w:eastAsiaTheme="minorEastAsia"/>
        </w:rPr>
        <w:t xml:space="preserve">. The total number of conflict-attributable deaths estimated by the model in this age range is then </w:t>
      </w:r>
      <w:r w:rsidR="003726C0" w:rsidRPr="00A30D59">
        <w:rPr>
          <w:rFonts w:eastAsiaTheme="minorEastAsia"/>
        </w:rPr>
        <w:t xml:space="preserve">the sum of differences in deaths estimated under both scenarios, i.e. </w:t>
      </w:r>
      <m:oMath>
        <m:nary>
          <m:naryPr>
            <m:chr m:val="∑"/>
            <m:limLoc m:val="subSup"/>
            <m:ctrlPr>
              <w:rPr>
                <w:rFonts w:ascii="Cambria Math" w:eastAsiaTheme="minorEastAsia" w:hAnsi="Cambria Math"/>
                <w:i/>
              </w:rPr>
            </m:ctrlPr>
          </m:naryPr>
          <m:sub>
            <m:r>
              <w:rPr>
                <w:rFonts w:ascii="Cambria Math" w:eastAsiaTheme="minorEastAsia" w:hAnsi="Cambria Math"/>
              </w:rPr>
              <m:t>i=15</m:t>
            </m:r>
          </m:sub>
          <m:sup>
            <m:r>
              <w:rPr>
                <w:rFonts w:ascii="Cambria Math" w:eastAsiaTheme="minorEastAsia" w:hAnsi="Cambria Math"/>
              </w:rPr>
              <m:t>45</m:t>
            </m:r>
          </m:sup>
          <m:e>
            <m:nary>
              <m:naryPr>
                <m:chr m:val="∑"/>
                <m:limLoc m:val="subSup"/>
                <m:ctrlPr>
                  <w:rPr>
                    <w:rFonts w:ascii="Cambria Math" w:eastAsiaTheme="minorEastAsia" w:hAnsi="Cambria Math"/>
                    <w:i/>
                  </w:rPr>
                </m:ctrlPr>
              </m:naryPr>
              <m:sub>
                <m:r>
                  <w:rPr>
                    <w:rFonts w:ascii="Cambria Math" w:eastAsiaTheme="minorEastAsia" w:hAnsi="Cambria Math"/>
                  </w:rPr>
                  <m:t>t=1922</m:t>
                </m:r>
              </m:sub>
              <m:sup>
                <m:r>
                  <w:rPr>
                    <w:rFonts w:ascii="Cambria Math" w:eastAsiaTheme="minorEastAsia" w:hAnsi="Cambria Math"/>
                  </w:rPr>
                  <m:t>2013</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nary>
          </m:e>
        </m:nary>
      </m:oMath>
      <w:r w:rsidR="003726C0" w:rsidRPr="00A30D59">
        <w:rPr>
          <w:rFonts w:eastAsiaTheme="minorEastAsia"/>
        </w:rPr>
        <w:t>.</w:t>
      </w:r>
      <w:r w:rsidR="000E2BEA" w:rsidRPr="00A30D59">
        <w:rPr>
          <w:rFonts w:eastAsiaTheme="minorEastAsia"/>
        </w:rPr>
        <w:t xml:space="preserve"> </w:t>
      </w:r>
    </w:p>
    <w:p w14:paraId="17210717" w14:textId="772DF6FD" w:rsidR="00F1537E" w:rsidRPr="00A30D59" w:rsidRDefault="00F1537E" w:rsidP="000B02C5">
      <w:pPr>
        <w:pStyle w:val="Heading2"/>
        <w:spacing w:line="480" w:lineRule="auto"/>
        <w:rPr>
          <w:color w:val="auto"/>
        </w:rPr>
      </w:pPr>
      <w:r w:rsidRPr="00A30D59">
        <w:rPr>
          <w:color w:val="auto"/>
        </w:rPr>
        <w:t xml:space="preserve">Results </w:t>
      </w:r>
    </w:p>
    <w:p w14:paraId="6FD58C1E" w14:textId="21CEA7A4" w:rsidR="00A33838" w:rsidRPr="003400A5" w:rsidRDefault="0029467E" w:rsidP="003400A5">
      <w:pPr>
        <w:pStyle w:val="Heading3"/>
        <w:rPr>
          <w:color w:val="auto"/>
        </w:rPr>
      </w:pPr>
      <w:r w:rsidRPr="003400A5">
        <w:rPr>
          <w:color w:val="auto"/>
        </w:rPr>
        <w:t xml:space="preserve">Visual exploration of patterns </w:t>
      </w:r>
    </w:p>
    <w:p w14:paraId="6919AA3C" w14:textId="7D593867" w:rsidR="00F1537E" w:rsidRDefault="00720800" w:rsidP="000B02C5">
      <w:pPr>
        <w:spacing w:line="480" w:lineRule="auto"/>
      </w:pPr>
      <w:r w:rsidRPr="00A30D59">
        <w:t>Figure 1 shows the Lexis surfaces of log</w:t>
      </w:r>
      <w:r w:rsidRPr="00A30D59">
        <w:softHyphen/>
      </w:r>
      <w:r w:rsidRPr="00A30D59">
        <w:rPr>
          <w:vertAlign w:val="subscript"/>
        </w:rPr>
        <w:t>10</w:t>
      </w:r>
      <w:r w:rsidRPr="00A30D59">
        <w:t xml:space="preserve"> mortality rates for both genders and for each age between </w:t>
      </w:r>
      <w:proofErr w:type="spellStart"/>
      <w:r w:rsidRPr="00A30D59">
        <w:t>newborns</w:t>
      </w:r>
      <w:proofErr w:type="spellEnd"/>
      <w:r w:rsidRPr="00A30D59">
        <w:t xml:space="preserve"> and 90 years. </w:t>
      </w:r>
      <w:r w:rsidR="006C78A1" w:rsidRPr="00A30D59">
        <w:t>C</w:t>
      </w:r>
      <w:r w:rsidRPr="00A30D59">
        <w:t xml:space="preserve">ells are coloured according </w:t>
      </w:r>
      <w:r>
        <w:t xml:space="preserve">to mortality rate. The legend on the right show which colours correspond </w:t>
      </w:r>
      <w:r w:rsidR="006D095E">
        <w:t xml:space="preserve">to </w:t>
      </w:r>
      <w:r>
        <w:t xml:space="preserve">which mortality values. </w:t>
      </w:r>
      <w:r w:rsidR="008D1A01">
        <w:t>T</w:t>
      </w:r>
      <w:r>
        <w:t>he values on this legend indicate the ‘number of zeros’ associated with the mortality risk</w:t>
      </w:r>
      <w:r w:rsidR="008D1A01">
        <w:t>, with ranges from</w:t>
      </w:r>
      <w:r>
        <w:t xml:space="preserve"> 10</w:t>
      </w:r>
      <w:r>
        <w:rPr>
          <w:vertAlign w:val="superscript"/>
        </w:rPr>
        <w:t>0</w:t>
      </w:r>
      <w:r>
        <w:rPr>
          <w:vertAlign w:val="subscript"/>
        </w:rPr>
        <w:t xml:space="preserve"> </w:t>
      </w:r>
      <w:r>
        <w:t xml:space="preserve">or 1.0 risk for light blue at the top, </w:t>
      </w:r>
      <w:r>
        <w:lastRenderedPageBreak/>
        <w:t>then to 10</w:t>
      </w:r>
      <w:r>
        <w:rPr>
          <w:vertAlign w:val="superscript"/>
        </w:rPr>
        <w:t>-1</w:t>
      </w:r>
      <w:r>
        <w:t xml:space="preserve"> (one in ten) for lighter green shades, 10</w:t>
      </w:r>
      <w:r>
        <w:rPr>
          <w:vertAlign w:val="superscript"/>
        </w:rPr>
        <w:t>-2</w:t>
      </w:r>
      <w:r>
        <w:t xml:space="preserve"> (one-in-100) for lighter reds, </w:t>
      </w:r>
      <w:r w:rsidR="008D1A01">
        <w:t xml:space="preserve">to  </w:t>
      </w:r>
      <w:r>
        <w:t>10</w:t>
      </w:r>
      <w:r>
        <w:rPr>
          <w:vertAlign w:val="superscript"/>
        </w:rPr>
        <w:t>-5</w:t>
      </w:r>
      <w:r>
        <w:t xml:space="preserve"> (one in a million) for the brown shade at the bottom of the scale. </w:t>
      </w:r>
    </w:p>
    <w:p w14:paraId="570A10CB" w14:textId="20430F52" w:rsidR="003455A7" w:rsidRDefault="00B447E0" w:rsidP="000B02C5">
      <w:pPr>
        <w:spacing w:line="480" w:lineRule="auto"/>
        <w:sectPr w:rsidR="003455A7" w:rsidSect="001766BE">
          <w:footerReference w:type="default" r:id="rId8"/>
          <w:pgSz w:w="11906" w:h="16838"/>
          <w:pgMar w:top="1440" w:right="1440" w:bottom="1440" w:left="1440" w:header="708" w:footer="708" w:gutter="0"/>
          <w:cols w:space="708"/>
          <w:docGrid w:linePitch="360"/>
        </w:sectPr>
      </w:pPr>
      <w:r>
        <w:t>Figure 2</w:t>
      </w:r>
      <w:r w:rsidR="00EB4CAE">
        <w:t>b</w:t>
      </w:r>
      <w:r>
        <w:t xml:space="preserve"> provides a stylised ‘pen portrait’ of some of the main features seen in figure 1. As with in many other countries, there is a much sharper increase in mortality risk once males reach adulthood, not observed to the same extent in female. In more recent years this can be seen by noting that for males almost all purple cells are seen in childhood, with cells at older </w:t>
      </w:r>
      <w:proofErr w:type="gramStart"/>
      <w:r>
        <w:t>ages</w:t>
      </w:r>
      <w:proofErr w:type="gramEnd"/>
      <w:r>
        <w:t xml:space="preserve"> coloured light or dark orange. This broadly corresponds to somewhere between half an order of magnitude, to a full order of magnitude, increase in mortality risk after males reach adulthood compared with their risks in childhood. By contrast for females the difference in colour and shade in early adulthood is much less different to in childhood.</w:t>
      </w:r>
    </w:p>
    <w:p w14:paraId="008F5CB5" w14:textId="484D5B59" w:rsidR="003455A7" w:rsidRPr="00F60885" w:rsidRDefault="003455A7" w:rsidP="003455A7">
      <w:pPr>
        <w:spacing w:line="480" w:lineRule="auto"/>
        <w:jc w:val="center"/>
        <w:rPr>
          <w:i/>
        </w:rPr>
      </w:pPr>
      <w:r w:rsidRPr="003455A7">
        <w:rPr>
          <w:noProof/>
          <w:lang w:eastAsia="en-GB"/>
        </w:rPr>
        <w:lastRenderedPageBreak/>
        <w:t xml:space="preserve"> </w:t>
      </w:r>
    </w:p>
    <w:p w14:paraId="16E42BAD" w14:textId="138169E0" w:rsidR="003455A7" w:rsidRPr="00F60885" w:rsidRDefault="003455A7" w:rsidP="003455A7">
      <w:pPr>
        <w:spacing w:line="480" w:lineRule="auto"/>
        <w:jc w:val="center"/>
        <w:rPr>
          <w:b/>
        </w:rPr>
      </w:pPr>
      <w:r>
        <w:rPr>
          <w:b/>
        </w:rPr>
        <w:t>Figure 1</w:t>
      </w:r>
      <w:r w:rsidRPr="00F60885">
        <w:rPr>
          <w:b/>
        </w:rPr>
        <w:t xml:space="preserve">: </w:t>
      </w:r>
      <w:proofErr w:type="spellStart"/>
      <w:r w:rsidRPr="00F60885">
        <w:rPr>
          <w:b/>
        </w:rPr>
        <w:t>Levelplot</w:t>
      </w:r>
      <w:proofErr w:type="spellEnd"/>
      <w:r w:rsidRPr="00F60885">
        <w:rPr>
          <w:b/>
        </w:rPr>
        <w:t xml:space="preserve"> of log</w:t>
      </w:r>
      <w:r w:rsidRPr="00F60885">
        <w:rPr>
          <w:b/>
          <w:vertAlign w:val="subscript"/>
        </w:rPr>
        <w:t>10</w:t>
      </w:r>
      <w:r w:rsidRPr="00F60885">
        <w:rPr>
          <w:b/>
        </w:rPr>
        <w:t xml:space="preserve"> mortality rates for males and females in Northern Ireland, 1922 to 2013. Cell colour indicates mortality risk. White cells indicate missing data. (Source: Human Mortality Database)</w:t>
      </w:r>
    </w:p>
    <w:p w14:paraId="1B35F89D" w14:textId="45CEA796" w:rsidR="003455A7" w:rsidRDefault="003455A7" w:rsidP="000B02C5">
      <w:pPr>
        <w:spacing w:line="480" w:lineRule="auto"/>
        <w:sectPr w:rsidR="003455A7" w:rsidSect="003455A7">
          <w:pgSz w:w="16838" w:h="11906" w:orient="landscape"/>
          <w:pgMar w:top="1440" w:right="1440" w:bottom="1440" w:left="1440" w:header="708" w:footer="708" w:gutter="0"/>
          <w:cols w:space="708"/>
          <w:docGrid w:linePitch="360"/>
        </w:sectPr>
      </w:pPr>
    </w:p>
    <w:p w14:paraId="1FF81ACE" w14:textId="3833183F" w:rsidR="00B447E0" w:rsidRDefault="00B447E0" w:rsidP="000B02C5">
      <w:pPr>
        <w:spacing w:line="480" w:lineRule="auto"/>
      </w:pPr>
    </w:p>
    <w:tbl>
      <w:tblPr>
        <w:tblStyle w:val="TableGrid"/>
        <w:tblW w:w="0" w:type="auto"/>
        <w:tblLook w:val="04A0" w:firstRow="1" w:lastRow="0" w:firstColumn="1" w:lastColumn="0" w:noHBand="0" w:noVBand="1"/>
      </w:tblPr>
      <w:tblGrid>
        <w:gridCol w:w="4508"/>
        <w:gridCol w:w="4508"/>
      </w:tblGrid>
      <w:tr w:rsidR="00657D70" w14:paraId="1CA6D79E" w14:textId="77777777" w:rsidTr="00657D70">
        <w:tc>
          <w:tcPr>
            <w:tcW w:w="4508" w:type="dxa"/>
            <w:vAlign w:val="center"/>
          </w:tcPr>
          <w:p w14:paraId="2A0AEA32" w14:textId="70CF9E5B" w:rsidR="00657D70" w:rsidRDefault="00657D70" w:rsidP="00657D70">
            <w:pPr>
              <w:spacing w:line="480" w:lineRule="auto"/>
              <w:jc w:val="center"/>
              <w:rPr>
                <w:i/>
              </w:rPr>
            </w:pPr>
            <w:r>
              <w:rPr>
                <w:i/>
                <w:noProof/>
                <w:lang w:eastAsia="en-GB"/>
              </w:rPr>
              <mc:AlternateContent>
                <mc:Choice Requires="wpc">
                  <w:drawing>
                    <wp:inline distT="0" distB="0" distL="0" distR="0" wp14:anchorId="67FB06A3" wp14:editId="0C4E7A7A">
                      <wp:extent cx="2667000" cy="1972945"/>
                      <wp:effectExtent l="0" t="0" r="0" b="825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287780" y="1630784"/>
                                  <a:ext cx="47053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AA8637" w14:textId="77777777" w:rsidR="00657D70" w:rsidRDefault="00657D70" w:rsidP="00657D70">
                                    <w:r>
                                      <w:t>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0"/>
                              <wps:cNvSpPr txBox="1"/>
                              <wps:spPr>
                                <a:xfrm>
                                  <a:off x="0" y="589256"/>
                                  <a:ext cx="678180" cy="94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BC032" w14:textId="77777777" w:rsidR="00657D70" w:rsidRDefault="00657D70" w:rsidP="00657D70">
                                    <w:pPr>
                                      <w:pStyle w:val="NormalWeb"/>
                                      <w:spacing w:before="0" w:beforeAutospacing="0" w:after="160" w:afterAutospacing="0" w:line="256" w:lineRule="auto"/>
                                      <w:rPr>
                                        <w:rFonts w:eastAsia="Calibri"/>
                                        <w:sz w:val="22"/>
                                        <w:szCs w:val="22"/>
                                      </w:rPr>
                                    </w:pPr>
                                    <w:r>
                                      <w:rPr>
                                        <w:rFonts w:eastAsia="Calibri"/>
                                        <w:sz w:val="22"/>
                                        <w:szCs w:val="22"/>
                                      </w:rPr>
                                      <w:t>Conflict</w:t>
                                    </w:r>
                                  </w:p>
                                  <w:p w14:paraId="363944A9" w14:textId="77777777" w:rsidR="00657D70" w:rsidRDefault="00657D70" w:rsidP="00657D70">
                                    <w:pPr>
                                      <w:pStyle w:val="NormalWeb"/>
                                      <w:spacing w:before="0" w:beforeAutospacing="0" w:after="160" w:afterAutospacing="0" w:line="256" w:lineRule="auto"/>
                                    </w:pPr>
                                    <w:r>
                                      <w:rPr>
                                        <w:rFonts w:eastAsia="Calibri"/>
                                        <w:sz w:val="22"/>
                                        <w:szCs w:val="22"/>
                                      </w:rPr>
                                      <w:t>Intensity</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2" name="Group 22"/>
                              <wpg:cNvGrpSpPr/>
                              <wpg:grpSpPr>
                                <a:xfrm>
                                  <a:off x="761878" y="236959"/>
                                  <a:ext cx="1556849" cy="1393721"/>
                                  <a:chOff x="1112520" y="236999"/>
                                  <a:chExt cx="2621280" cy="2001180"/>
                                </a:xfrm>
                              </wpg:grpSpPr>
                              <wps:wsp>
                                <wps:cNvPr id="5" name="Straight Arrow Connector 5"/>
                                <wps:cNvCnPr/>
                                <wps:spPr>
                                  <a:xfrm>
                                    <a:off x="1112520" y="2238179"/>
                                    <a:ext cx="262128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112520" y="236999"/>
                                    <a:ext cx="12360" cy="200118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124880" y="2078159"/>
                                    <a:ext cx="1153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2278380" y="343679"/>
                                    <a:ext cx="0" cy="17344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Freeform 19"/>
                                <wps:cNvSpPr/>
                                <wps:spPr>
                                  <a:xfrm>
                                    <a:off x="2278380" y="343679"/>
                                    <a:ext cx="1394460" cy="1734480"/>
                                  </a:xfrm>
                                  <a:custGeom>
                                    <a:avLst/>
                                    <a:gdLst>
                                      <a:gd name="connsiteX0" fmla="*/ 0 w 685800"/>
                                      <a:gd name="connsiteY0" fmla="*/ 0 h 1653540"/>
                                      <a:gd name="connsiteX1" fmla="*/ 205740 w 685800"/>
                                      <a:gd name="connsiteY1" fmla="*/ 1264920 h 1653540"/>
                                      <a:gd name="connsiteX2" fmla="*/ 685800 w 685800"/>
                                      <a:gd name="connsiteY2" fmla="*/ 1653540 h 1653540"/>
                                    </a:gdLst>
                                    <a:ahLst/>
                                    <a:cxnLst>
                                      <a:cxn ang="0">
                                        <a:pos x="connsiteX0" y="connsiteY0"/>
                                      </a:cxn>
                                      <a:cxn ang="0">
                                        <a:pos x="connsiteX1" y="connsiteY1"/>
                                      </a:cxn>
                                      <a:cxn ang="0">
                                        <a:pos x="connsiteX2" y="connsiteY2"/>
                                      </a:cxn>
                                    </a:cxnLst>
                                    <a:rect l="l" t="t" r="r" b="b"/>
                                    <a:pathLst>
                                      <a:path w="685800" h="1653540">
                                        <a:moveTo>
                                          <a:pt x="0" y="0"/>
                                        </a:moveTo>
                                        <a:cubicBezTo>
                                          <a:pt x="45720" y="494665"/>
                                          <a:pt x="91440" y="989330"/>
                                          <a:pt x="205740" y="1264920"/>
                                        </a:cubicBezTo>
                                        <a:cubicBezTo>
                                          <a:pt x="320040" y="1540510"/>
                                          <a:pt x="607060" y="1604010"/>
                                          <a:pt x="685800" y="165354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0" name="Text Box 20"/>
                              <wps:cNvSpPr txBox="1"/>
                              <wps:spPr>
                                <a:xfrm>
                                  <a:off x="1181100" y="35999"/>
                                  <a:ext cx="665480"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308" w14:textId="77777777" w:rsidR="00657D70" w:rsidRPr="00657D70" w:rsidRDefault="00657D70" w:rsidP="00657D70">
                                    <w:pPr>
                                      <w:rPr>
                                        <w:i/>
                                      </w:rPr>
                                    </w:pPr>
                                    <w:r w:rsidRPr="00657D70">
                                      <w:rPr>
                                        <w:i/>
                                      </w:rPr>
                                      <w:t>Impulse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0"/>
                              <wps:cNvSpPr txBox="1"/>
                              <wps:spPr>
                                <a:xfrm>
                                  <a:off x="1597320" y="848459"/>
                                  <a:ext cx="579120"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1895E" w14:textId="77777777" w:rsidR="00657D70" w:rsidRDefault="00657D70" w:rsidP="00657D70">
                                    <w:pPr>
                                      <w:pStyle w:val="NormalWeb"/>
                                      <w:spacing w:before="0" w:beforeAutospacing="0" w:after="160" w:afterAutospacing="0" w:line="256" w:lineRule="auto"/>
                                    </w:pPr>
                                    <w:r>
                                      <w:rPr>
                                        <w:rFonts w:eastAsia="Calibri"/>
                                        <w:i/>
                                        <w:iCs/>
                                        <w:sz w:val="22"/>
                                        <w:szCs w:val="22"/>
                                      </w:rPr>
                                      <w:t>Decay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FB06A3" id="Canvas 3" o:spid="_x0000_s1026" editas="canvas" style="width:210pt;height:155.35pt;mso-position-horizontal-relative:char;mso-position-vertical-relative:line" coordsize="26670,1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KL/wYAAJUkAAAOAAAAZHJzL2Uyb0RvYy54bWzsWttu20YQfS/Qf1jwsUAj8U4JkQPHidMC&#10;QRLUbpM+rilSIkpx2eXakvP1PbO7pCj6pqSOmwJ6sZfc2dvsnJkzQz1/sVmV7CqTTSGqmeM+Gzss&#10;q1IxL6rFzPn9/PTnxGGN4tWcl6LKZs511jgvjn784fm6nmaeWIpynkmGSapmuq5nzlKpejoaNeky&#10;W/HmmaizCp25kCuu8CgXo7nka8y+KkfeeByN1kLOaynSrGnw9pXpdI70/Hmepep9njeZYuXMwd6U&#10;/iv13wv6Ozp6zqcLyetlkdpt8K/YxYoXFRbtpnrFFWeXsrgx1apIpWhErp6lYjUSeV6kmT4DTuOO&#10;B6c54dUVb/RhUmin3SBajzjvxQI6wJTTNS4j021cRVN3l9L8u8XOlrzO9Bmaafru6oNkxRyWgsuo&#10;+AoWcZ5tFHspNgyv7OoQO6shqDZ4D9n2fYOXpORNLlf0H+pj1O8lcZxgwmu0I38cJ4G5V5o5hUAQ&#10;j0M/dFgKAT/wJmO90mg7US0b9SYTK0aNmSNhNvo2+dXbRmFTEG1FaN1KnBZlifd8WlZsPXMiPxzr&#10;AV0PRpQVCWTaCO0067qZmkPolrouMzPJb1kOtWCrZhpt/tlJKdkVh+HyNM0qpdWg54U0DcuxiS8Z&#10;aOW3u/qSweYc7cqiUt3gVVEJqU8/2Pb8r3bLuZGHInvnpqbaXGzspV+I+TXuXAqD0aZOTwvcxlve&#10;qA9cApS4YDga9R5/8lJA68K2HLYU8vNt70ke1oteh60B8plTwQs5rPy1glVP3CAgn6AfgjD28CD7&#10;PRf9nupydSJwGS4cWp3qJsmrsm3mUqw+whsd05ro4lWKlWeOapsnyjgeeLM0Oz7WQvACNVdvqzPC&#10;tKu1SJZ2vvnIZW3NUcGO34kWR3w6sEojS7daieNLJfJCmyyp1+jUqh2YJqA/BbiBtccCNxQJ1IbJ&#10;xAujXVRHceIS6gnVkyCOowOqta/pgLmHL/l2qDZevvXc+4L7ANZdsC6m68U2EoNSDfjRF9GJN1Jc&#10;1nAx63rRi8Se14JV9zM8a4+sZd7ImiKxfbEwT+RqBiE4jtwkBtUDFD0/moSTXai6YRglwcRg1fUn&#10;fuzp0MCn6RL8TAdx1/VC8sB2iomdIl2+tlHcizxEegt4cD+X0I+ddXEcwWUBLqd3/ESernN0Z0ry&#10;YrFU7FhKsWYnoqpAIoRkodGm5j4nlVVlywJu6NHta8HzEzceaHJHCbvH33IUGzcau6duMya+DMIH&#10;8R66UcNkvCSMQxPMRVnMiedQ5yCyq00b2Zu+lOJF+bqaM3Vdg9gpWfBqUWb2jogOmfCvWVyPCNDa&#10;ndMyexys9z8lQFs13UmAjGMkK7aR+YkM1w1a1N9puRDRuL/PdFleFvUvmhRR64+Ww7TMvG/O8Ast&#10;qFti7sJZ3APog0XfhN4uFJ6a0n/PFh3dsOjO8TFXc0eCGHLLfdywFyQ2o/SQT7o3ApqLhBJppCaf&#10;D7jhskDKQU70XsfrejHm076271IHjnCr/57jtbnmwbkaDZismu76P3Ou8X2mGO/pVofO1PPixLdG&#10;6Qd+NKQG1hrd2A+CATO64UgPNmmgRmXGu+osX5EbbeH5/QV8sG+Tk5/KLKOCKnM1t7ROsaP5d3LT&#10;h+wPvD4I2nB+uxWml6bO1veGqJnOUR6jV4u53WIK+twUKvsEm85XJYo/P43YmK1ZlISJqd7dIv3n&#10;rvQSXh9eGiUe0JhbxD+hktNN7o3DOHh4hf4Q14uCiTdmD66DBKtbxxzgwZP0h9hT7K4Dn9+pjS9N&#10;eRHZ1KayqkQLBSgkjCam1KKhJKuvV+RZ7SMUZ/IojCJVPTAYSugPblOB/QbjZP3BOtnEYfRg89+e&#10;gIqwVLUvddUeRTQUz6TDULW/MBeKuhkdnDZMTV2HNebBluCh9u6pe4VK4bnQgorUADvBHtpDb3vT&#10;y4sifZl97svauiDkg0kQRTqdw4J6HltARN8kmfi+NTTTZwxKL2QNpdXxziK3LekjuaXCJOZ1Yb6h&#10;KYy3i0bjeEwoo94IcoNeqwHd21k/Kba3LB5JYzp17rSoZbbw7CrZbSG7Rzj2ywcx4Z45n3efM6Zr&#10;a5Z8nplaOFhXV77vyJE+iU4iSXqnLr5HPvnUJLrsSvkPRIlvXQxv/r7k8qnL4akCik1t/OQ7KIiD&#10;M+oi2xPl3VThGpTG8WqbZ1MY3vu7l5u4LiUhALsf3kiu4ayIB5qvXp7vudp3AZVt7a79pHX46vWY&#10;HHDPr166Pm5LrW2m8q3xfvj49QQfv1DZfjyEh5MYbEAjPAmSYFiGCOOJS936w/YB4oj9XdK29+f0&#10;boSmDo/5YVtD3G+d++ETGNHO7ts2aXuP79UIz/hlSp1qhmd/p0M/ruk/o93/NdHRPwAAAP//AwBQ&#10;SwMEFAAGAAgAAAAhADjdpNLcAAAABQEAAA8AAABkcnMvZG93bnJldi54bWxMj09Lw0AQxe+C32EZ&#10;wZvdbZU2xExKEQQRQfoHvG6z0ySanQ3ZbZt+e0cvenkwvOG93yuWo+/UiYbYBkaYTgwo4iq4lmuE&#10;3fb5LgMVk2Vnu8CEcKEIy/L6qrC5C2de02mTaiUhHHOL0KTU51rHqiFv4yT0xOIdwuBtknOotRvs&#10;WcJ9p2fGzLW3LUtDY3t6aqj62hw9wvxlsd29mXXmX7PLx8r49/Q5OyDe3oyrR1CJxvT3DD/4gg6l&#10;MO3DkV1UHYIMSb8q3oNUgdoj3E/NAnRZ6P/05TcAAAD//wMAUEsBAi0AFAAGAAgAAAAhALaDOJL+&#10;AAAA4QEAABMAAAAAAAAAAAAAAAAAAAAAAFtDb250ZW50X1R5cGVzXS54bWxQSwECLQAUAAYACAAA&#10;ACEAOP0h/9YAAACUAQAACwAAAAAAAAAAAAAAAAAvAQAAX3JlbHMvLnJlbHNQSwECLQAUAAYACAAA&#10;ACEAnNhCi/8GAACVJAAADgAAAAAAAAAAAAAAAAAuAgAAZHJzL2Uyb0RvYy54bWxQSwECLQAUAAYA&#10;CAAAACEAON2k0twAAAAFAQAADwAAAAAAAAAAAAAAAABZCQAAZHJzL2Rvd25yZXYueG1sUEsFBgAA&#10;AAAEAAQA8wAAAG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670;height:19729;visibility:visible;mso-wrap-style:square">
                        <v:fill o:detectmouseclick="t"/>
                        <v:path o:connecttype="none"/>
                      </v:shape>
                      <v:shapetype id="_x0000_t202" coordsize="21600,21600" o:spt="202" path="m,l,21600r21600,l21600,xe">
                        <v:stroke joinstyle="miter"/>
                        <v:path gradientshapeok="t" o:connecttype="rect"/>
                      </v:shapetype>
                      <v:shape id="Text Box 10" o:spid="_x0000_s1028" type="#_x0000_t202" style="position:absolute;left:12877;top:16307;width:4706;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14:paraId="47AA8637" w14:textId="77777777" w:rsidR="00657D70" w:rsidRDefault="00657D70" w:rsidP="00657D70">
                              <w:r>
                                <w:t>Time</w:t>
                              </w:r>
                            </w:p>
                          </w:txbxContent>
                        </v:textbox>
                      </v:shape>
                      <v:shape id="Text Box 10" o:spid="_x0000_s1029" type="#_x0000_t202" style="position:absolute;top:5892;width:6781;height:9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73EBC032" w14:textId="77777777" w:rsidR="00657D70" w:rsidRDefault="00657D70" w:rsidP="00657D70">
                              <w:pPr>
                                <w:pStyle w:val="NormalWeb"/>
                                <w:spacing w:before="0" w:beforeAutospacing="0" w:after="160" w:afterAutospacing="0" w:line="256" w:lineRule="auto"/>
                                <w:rPr>
                                  <w:rFonts w:eastAsia="Calibri"/>
                                  <w:sz w:val="22"/>
                                  <w:szCs w:val="22"/>
                                </w:rPr>
                              </w:pPr>
                              <w:r>
                                <w:rPr>
                                  <w:rFonts w:eastAsia="Calibri"/>
                                  <w:sz w:val="22"/>
                                  <w:szCs w:val="22"/>
                                </w:rPr>
                                <w:t>Conflict</w:t>
                              </w:r>
                            </w:p>
                            <w:p w14:paraId="363944A9" w14:textId="77777777" w:rsidR="00657D70" w:rsidRDefault="00657D70" w:rsidP="00657D70">
                              <w:pPr>
                                <w:pStyle w:val="NormalWeb"/>
                                <w:spacing w:before="0" w:beforeAutospacing="0" w:after="160" w:afterAutospacing="0" w:line="256" w:lineRule="auto"/>
                              </w:pPr>
                              <w:r>
                                <w:rPr>
                                  <w:rFonts w:eastAsia="Calibri"/>
                                  <w:sz w:val="22"/>
                                  <w:szCs w:val="22"/>
                                </w:rPr>
                                <w:t>Intensity</w:t>
                              </w:r>
                            </w:p>
                          </w:txbxContent>
                        </v:textbox>
                      </v:shape>
                      <v:group id="Group 22" o:spid="_x0000_s1030" style="position:absolute;left:7618;top:2369;width:15569;height:13937" coordorigin="11125,2369" coordsize="26212,20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5" o:spid="_x0000_s1031" type="#_x0000_t32" style="position:absolute;left:11125;top:22381;width:26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1s8IAAADaAAAADwAAAGRycy9kb3ducmV2LnhtbESPQYvCMBSE78L+h/AW9qapgqLVKFJY&#10;EFwUdWGvj+bZFpuXbhJr/fdGEDwOM/MNs1h1phYtOV9ZVjAcJCCIc6srLhT8nr77UxA+IGusLZOC&#10;O3lYLT96C0y1vfGB2mMoRISwT1FBGUKTSunzkgz6gW2Io3e2zmCI0hVSO7xFuKnlKEkm0mDFcaHE&#10;hrKS8svxahRsfnjsTvv/iSum29nfrs3q0SVT6uuzW89BBOrCO/xqb7SCMTyvxBs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B1s8IAAADaAAAADwAAAAAAAAAAAAAA&#10;AAChAgAAZHJzL2Rvd25yZXYueG1sUEsFBgAAAAAEAAQA+QAAAJADAAAAAA==&#10;" strokecolor="black [3213]" strokeweight="2.25pt">
                          <v:stroke endarrow="block" joinstyle="miter"/>
                        </v:shape>
                        <v:shape id="Straight Arrow Connector 14" o:spid="_x0000_s1032" type="#_x0000_t32" style="position:absolute;left:11125;top:2369;width:123;height:200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KIob0AAADbAAAADwAAAGRycy9kb3ducmV2LnhtbERPzYrCMBC+C75DGMGbpi5FpBpFuwhe&#10;rT7A0IxtsZnUJGr16c3Cgrf5+H5ntelNKx7kfGNZwWyagCAurW64UnA+7ScLED4ga2wtk4IXedis&#10;h4MVZto++UiPIlQihrDPUEEdQpdJ6cuaDPqp7Ygjd7HOYIjQVVI7fMZw08qfJJlLgw3Hhho7ymsq&#10;r8XdKEjt7nbK80Xa7M/cpTP6dYV5KzUe9dsliEB9+Ir/3Qcd56fw90s8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6SiKG9AAAA2wAAAA8AAAAAAAAAAAAAAAAAoQIA&#10;AGRycy9kb3ducmV2LnhtbFBLBQYAAAAABAAEAPkAAACLAwAAAAA=&#10;" strokecolor="black [3213]" strokeweight="2.25pt">
                          <v:stroke endarrow="block" joinstyle="miter"/>
                        </v:shape>
                        <v:line id="Straight Connector 16" o:spid="_x0000_s1033" style="position:absolute;visibility:visible;mso-wrap-style:square" from="11248,20781" to="22783,20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HjcAAAADbAAAADwAAAGRycy9kb3ducmV2LnhtbERP22rCQBB9F/oPyxR804kXQkldRQoV&#10;nxQvHzDNTpO02dmQXU3s13cFwbc5nOssVr2t1ZVbXznRMBknoFhyZyopNJxPn6M3UD6QGKqdsIYb&#10;e1gtXwYLyozr5MDXYyhUDBGfkYYyhCZD9HnJlvzYNSyR+3atpRBhW6BpqYvhtsZpkqRoqZLYUFLD&#10;HyXnv8eL1WBn22SXdtNdjfnP5kv+EOezvdbD1379DipwH57ih3tr4vwU7r/EA3D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tx43AAAAA2wAAAA8AAAAAAAAAAAAAAAAA&#10;oQIAAGRycy9kb3ducmV2LnhtbFBLBQYAAAAABAAEAPkAAACOAwAAAAA=&#10;" strokecolor="black [3213]" strokeweight="1pt">
                          <v:stroke joinstyle="miter"/>
                        </v:line>
                        <v:line id="Straight Connector 17" o:spid="_x0000_s1034" style="position:absolute;flip:y;visibility:visible;mso-wrap-style:square" from="22783,3436" to="22783,20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jADcMAAADbAAAADwAAAGRycy9kb3ducmV2LnhtbERPS2sCMRC+F/wPYQQvRbP24GNrFBVk&#10;FUuh6qW36Wa6u7iZbJOo679vCkJv8/E9Z7ZoTS2u5HxlWcFwkIAgzq2uuFBwOm76ExA+IGusLZOC&#10;O3lYzDtPM0y1vfEHXQ+hEDGEfYoKyhCaVEqfl2TQD2xDHLlv6wyGCF0htcNbDDe1fEmSkTRYcWwo&#10;saF1Sfn5cDEKdvJnf165ryKbyGzz+TZ+n3L2rFSv2y5fQQRqw7/44d7qOH8Mf7/E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YwA3DAAAA2wAAAA8AAAAAAAAAAAAA&#10;AAAAoQIAAGRycy9kb3ducmV2LnhtbFBLBQYAAAAABAAEAPkAAACRAwAAAAA=&#10;" strokecolor="black [3213]" strokeweight="1pt">
                          <v:stroke joinstyle="miter"/>
                        </v:line>
                        <v:shape id="Freeform 19" o:spid="_x0000_s1035" style="position:absolute;left:22783;top:3436;width:13945;height:17345;visibility:visible;mso-wrap-style:square;v-text-anchor:middle" coordsize="685800,1653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BKOcIA&#10;AADbAAAADwAAAGRycy9kb3ducmV2LnhtbERPTWvCQBC9C/0PyxR6040ebBvdBCkNSMGWJu19yI5J&#10;MDsbdjca/323IHibx/ucbT6ZXpzJ+c6yguUiAUFcW91xo+CnKuYvIHxA1thbJgVX8pBnD7Mtptpe&#10;+JvOZWhEDGGfooI2hCGV0tctGfQLOxBH7midwRCha6R2eInhpperJFlLgx3HhhYHemupPpWjUVB8&#10;7bph3FdcHt4/nw8f12J0xa9ST4/TbgMi0BTu4pt7r+P8V/j/JR4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cEo5wgAAANsAAAAPAAAAAAAAAAAAAAAAAJgCAABkcnMvZG93&#10;bnJldi54bWxQSwUGAAAAAAQABAD1AAAAhwMAAAAA&#10;" path="m,c45720,494665,91440,989330,205740,1264920v114300,275590,401320,339090,480060,388620e" filled="f" strokecolor="black [3213]" strokeweight="1pt">
                          <v:stroke joinstyle="miter"/>
                          <v:path arrowok="t" o:connecttype="custom" o:connectlocs="0,0;418338,1326837;1394460,1734480" o:connectangles="0,0,0"/>
                        </v:shape>
                      </v:group>
                      <v:shape id="Text Box 20" o:spid="_x0000_s1036" type="#_x0000_t202" style="position:absolute;left:11811;top:359;width:6654;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14:paraId="4E0BE308" w14:textId="77777777" w:rsidR="00657D70" w:rsidRPr="00657D70" w:rsidRDefault="00657D70" w:rsidP="00657D70">
                              <w:pPr>
                                <w:rPr>
                                  <w:i/>
                                </w:rPr>
                              </w:pPr>
                              <w:r w:rsidRPr="00657D70">
                                <w:rPr>
                                  <w:i/>
                                </w:rPr>
                                <w:t>Impulse</w:t>
                              </w:r>
                            </w:p>
                          </w:txbxContent>
                        </v:textbox>
                      </v:shape>
                      <v:shape id="Text Box 20" o:spid="_x0000_s1037" type="#_x0000_t202" style="position:absolute;left:15973;top:8484;width:5791;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14:paraId="3911895E" w14:textId="77777777" w:rsidR="00657D70" w:rsidRDefault="00657D70" w:rsidP="00657D70">
                              <w:pPr>
                                <w:pStyle w:val="NormalWeb"/>
                                <w:spacing w:before="0" w:beforeAutospacing="0" w:after="160" w:afterAutospacing="0" w:line="256" w:lineRule="auto"/>
                              </w:pPr>
                              <w:r>
                                <w:rPr>
                                  <w:rFonts w:eastAsia="Calibri"/>
                                  <w:i/>
                                  <w:iCs/>
                                  <w:sz w:val="22"/>
                                  <w:szCs w:val="22"/>
                                </w:rPr>
                                <w:t>Decay</w:t>
                              </w:r>
                            </w:p>
                          </w:txbxContent>
                        </v:textbox>
                      </v:shape>
                      <w10:anchorlock/>
                    </v:group>
                  </w:pict>
                </mc:Fallback>
              </mc:AlternateContent>
            </w:r>
          </w:p>
        </w:tc>
        <w:tc>
          <w:tcPr>
            <w:tcW w:w="4508" w:type="dxa"/>
          </w:tcPr>
          <w:p w14:paraId="7FC75222" w14:textId="5AB638E0" w:rsidR="00657D70" w:rsidRDefault="00657D70" w:rsidP="00F60885">
            <w:pPr>
              <w:spacing w:line="480" w:lineRule="auto"/>
              <w:jc w:val="center"/>
              <w:rPr>
                <w:i/>
              </w:rPr>
            </w:pPr>
          </w:p>
        </w:tc>
      </w:tr>
      <w:tr w:rsidR="00657D70" w14:paraId="797E3BDE" w14:textId="77777777" w:rsidTr="00657D70">
        <w:tc>
          <w:tcPr>
            <w:tcW w:w="4508" w:type="dxa"/>
            <w:vAlign w:val="center"/>
          </w:tcPr>
          <w:p w14:paraId="535EA935" w14:textId="073C61EF" w:rsidR="00657D70" w:rsidRPr="00657D70" w:rsidRDefault="00657D70" w:rsidP="00657D70">
            <w:pPr>
              <w:pStyle w:val="ListParagraph"/>
              <w:numPr>
                <w:ilvl w:val="0"/>
                <w:numId w:val="4"/>
              </w:numPr>
              <w:spacing w:line="480" w:lineRule="auto"/>
              <w:jc w:val="center"/>
              <w:rPr>
                <w:i/>
                <w:noProof/>
                <w:lang w:eastAsia="en-GB"/>
              </w:rPr>
            </w:pPr>
            <w:r>
              <w:rPr>
                <w:i/>
                <w:noProof/>
                <w:lang w:eastAsia="en-GB"/>
              </w:rPr>
              <w:t>Pen portrait of Parameter T(t)</w:t>
            </w:r>
          </w:p>
        </w:tc>
        <w:tc>
          <w:tcPr>
            <w:tcW w:w="4508" w:type="dxa"/>
          </w:tcPr>
          <w:p w14:paraId="718E41C6" w14:textId="1399A825" w:rsidR="00657D70" w:rsidRPr="00657D70" w:rsidRDefault="00657D70" w:rsidP="00F60885">
            <w:pPr>
              <w:spacing w:line="480" w:lineRule="auto"/>
              <w:jc w:val="center"/>
              <w:rPr>
                <w:i/>
                <w:noProof/>
                <w:lang w:eastAsia="en-GB"/>
              </w:rPr>
            </w:pPr>
            <w:r w:rsidRPr="00657D70">
              <w:rPr>
                <w:i/>
              </w:rPr>
              <w:t>b) ‘Pen Portrait’ of key features in Figure 1.</w:t>
            </w:r>
          </w:p>
        </w:tc>
      </w:tr>
    </w:tbl>
    <w:p w14:paraId="017772DB" w14:textId="353B6845" w:rsidR="00F60885" w:rsidRPr="00F60885" w:rsidRDefault="003455A7" w:rsidP="00F60885">
      <w:pPr>
        <w:spacing w:line="480" w:lineRule="auto"/>
        <w:jc w:val="center"/>
        <w:rPr>
          <w:b/>
        </w:rPr>
      </w:pPr>
      <w:r w:rsidRPr="00F60885">
        <w:rPr>
          <w:b/>
        </w:rPr>
        <w:t xml:space="preserve"> </w:t>
      </w:r>
      <w:r>
        <w:rPr>
          <w:b/>
        </w:rPr>
        <w:t>Figure 2</w:t>
      </w:r>
      <w:r w:rsidR="00F60885" w:rsidRPr="00F60885">
        <w:rPr>
          <w:b/>
        </w:rPr>
        <w:t xml:space="preserve">: </w:t>
      </w:r>
      <w:r w:rsidR="00EB4CAE">
        <w:rPr>
          <w:b/>
        </w:rPr>
        <w:t>Stylised representations of a) impulse-decay component of conflict; b) Key visual features in the Lexis surface shown in Figure 1</w:t>
      </w:r>
    </w:p>
    <w:p w14:paraId="0F1029F1" w14:textId="27AC55ED" w:rsidR="00963867" w:rsidRDefault="00B447E0" w:rsidP="000B02C5">
      <w:pPr>
        <w:spacing w:line="480" w:lineRule="auto"/>
        <w:rPr>
          <w:rFonts w:eastAsiaTheme="minorEastAsia"/>
        </w:rPr>
      </w:pPr>
      <w:r>
        <w:t>Within Figure 2</w:t>
      </w:r>
      <w:r w:rsidR="00EB4CAE">
        <w:t>b,</w:t>
      </w:r>
      <w:r>
        <w:t xml:space="preserve"> P1, P2 and P3 indicate ‘Phase 1’, ‘Phase 2’ and ‘Phase 3’, each demarcating periods of years in which there appeared to be systemic differences in the rate of change in mortality risk at different ages. </w:t>
      </w:r>
      <w:r>
        <w:rPr>
          <w:rFonts w:eastAsiaTheme="minorEastAsia"/>
        </w:rPr>
        <w:t>The much more rapid falls in both female and</w:t>
      </w:r>
      <w:r w:rsidR="00963867">
        <w:rPr>
          <w:rFonts w:eastAsiaTheme="minorEastAsia"/>
        </w:rPr>
        <w:t xml:space="preserve"> male young adult mortality over Phase Two is evident in the Figure 1 </w:t>
      </w:r>
      <w:proofErr w:type="spellStart"/>
      <w:r w:rsidR="00963867">
        <w:rPr>
          <w:rFonts w:eastAsiaTheme="minorEastAsia"/>
        </w:rPr>
        <w:t>levelplot</w:t>
      </w:r>
      <w:proofErr w:type="spellEnd"/>
      <w:r w:rsidR="00963867">
        <w:rPr>
          <w:rFonts w:eastAsiaTheme="minorEastAsia"/>
        </w:rPr>
        <w:t xml:space="preserve"> by noting that most of the cells in the age range 20 to 40 years are red before the late 1930s, whereas during this Phase they turn dark and light orange. This represents close to an order of magnitude fall in mortality risk at these ages over these years. This is despite the period including World War Two, indicated with a shaded polygon in Figure 2</w:t>
      </w:r>
      <w:r w:rsidR="00EB4CAE">
        <w:rPr>
          <w:rFonts w:eastAsiaTheme="minorEastAsia"/>
        </w:rPr>
        <w:t>b</w:t>
      </w:r>
      <w:r w:rsidR="00963867">
        <w:rPr>
          <w:rFonts w:eastAsiaTheme="minorEastAsia"/>
        </w:rPr>
        <w:t xml:space="preserve">. </w:t>
      </w:r>
    </w:p>
    <w:p w14:paraId="010A2870" w14:textId="3D60EA13" w:rsidR="00B447E0" w:rsidRDefault="00963867" w:rsidP="000B02C5">
      <w:pPr>
        <w:spacing w:line="480" w:lineRule="auto"/>
        <w:rPr>
          <w:rFonts w:eastAsiaTheme="minorEastAsia"/>
        </w:rPr>
      </w:pPr>
      <w:r>
        <w:rPr>
          <w:rFonts w:eastAsiaTheme="minorEastAsia"/>
        </w:rPr>
        <w:t xml:space="preserve">The effect of the Troubles on mortality is evident by noting the faint vertical band of red cells which appears in the male level plot from around age 18 to 40 after the early 1970s. Before this red band appeared cells tended to be a darker orange shade (slightly under </w:t>
      </w:r>
      <w:r w:rsidR="006C78A1">
        <w:rPr>
          <w:rFonts w:eastAsiaTheme="minorEastAsia"/>
        </w:rPr>
        <w:t xml:space="preserve">a </w:t>
      </w:r>
      <w:r>
        <w:rPr>
          <w:rFonts w:eastAsiaTheme="minorEastAsia"/>
        </w:rPr>
        <w:t xml:space="preserve">1-in-100 risk), and </w:t>
      </w:r>
      <w:r w:rsidR="000B2D22">
        <w:rPr>
          <w:rFonts w:eastAsiaTheme="minorEastAsia"/>
        </w:rPr>
        <w:t xml:space="preserve">a slightly lighter orange/yellow shade after. No similar discontinuity at this age range after the early 1970s is evident for females. </w:t>
      </w:r>
      <w:r w:rsidR="00A33838">
        <w:rPr>
          <w:rFonts w:eastAsiaTheme="minorEastAsia"/>
        </w:rPr>
        <w:t xml:space="preserve">Figure 3 explores this pattern further, by plotting the number of deaths </w:t>
      </w:r>
      <w:r w:rsidR="00273CFC">
        <w:rPr>
          <w:rFonts w:eastAsiaTheme="minorEastAsia"/>
        </w:rPr>
        <w:t xml:space="preserve">(not death rate) </w:t>
      </w:r>
      <w:r w:rsidR="00A33838">
        <w:rPr>
          <w:rFonts w:eastAsiaTheme="minorEastAsia"/>
        </w:rPr>
        <w:t xml:space="preserve">for males and females aged between 18 and 40 years. A grey band is added indicating the years 1971-1973. Male deaths </w:t>
      </w:r>
      <w:r w:rsidR="00273CFC">
        <w:rPr>
          <w:rFonts w:eastAsiaTheme="minorEastAsia"/>
        </w:rPr>
        <w:t>increase</w:t>
      </w:r>
      <w:r w:rsidR="00A33838">
        <w:rPr>
          <w:rFonts w:eastAsiaTheme="minorEastAsia"/>
        </w:rPr>
        <w:t xml:space="preserve"> in 1971 and 1972, peak in 1973, and then remain above </w:t>
      </w:r>
      <w:r w:rsidR="00A33838">
        <w:rPr>
          <w:rFonts w:eastAsiaTheme="minorEastAsia"/>
        </w:rPr>
        <w:lastRenderedPageBreak/>
        <w:t xml:space="preserve">those seen in earlier years for many years afterwards; no similar increase is seen for females. </w:t>
      </w:r>
      <w:r w:rsidR="006C78A1">
        <w:rPr>
          <w:rFonts w:eastAsiaTheme="minorEastAsia"/>
        </w:rPr>
        <w:t xml:space="preserve">The </w:t>
      </w:r>
      <w:r w:rsidR="000B2D22">
        <w:rPr>
          <w:rFonts w:eastAsiaTheme="minorEastAsia"/>
        </w:rPr>
        <w:t>Troubles had a longer term effect than WW2 on male mortality.</w:t>
      </w:r>
      <w:r>
        <w:rPr>
          <w:rFonts w:eastAsiaTheme="minorEastAsia"/>
        </w:rPr>
        <w:t xml:space="preserve"> </w:t>
      </w:r>
    </w:p>
    <w:p w14:paraId="2D1A6A9C" w14:textId="1BB0D786" w:rsidR="00F60885" w:rsidRPr="00F60885" w:rsidRDefault="00F60885" w:rsidP="00F60885">
      <w:pPr>
        <w:spacing w:line="480" w:lineRule="auto"/>
        <w:jc w:val="center"/>
        <w:rPr>
          <w:rFonts w:eastAsiaTheme="minorEastAsia"/>
          <w:i/>
        </w:rPr>
      </w:pPr>
    </w:p>
    <w:p w14:paraId="24763E9B" w14:textId="35C98D19" w:rsidR="00F60885" w:rsidRPr="00F60885" w:rsidRDefault="00F60885" w:rsidP="00F60885">
      <w:pPr>
        <w:spacing w:line="480" w:lineRule="auto"/>
        <w:jc w:val="center"/>
        <w:rPr>
          <w:rFonts w:eastAsiaTheme="minorEastAsia"/>
          <w:b/>
        </w:rPr>
      </w:pPr>
      <w:r w:rsidRPr="00F60885">
        <w:rPr>
          <w:rFonts w:eastAsiaTheme="minorEastAsia"/>
          <w:b/>
        </w:rPr>
        <w:t>Fig</w:t>
      </w:r>
      <w:r w:rsidR="003455A7">
        <w:rPr>
          <w:rFonts w:eastAsiaTheme="minorEastAsia"/>
          <w:b/>
        </w:rPr>
        <w:t>ure 3</w:t>
      </w:r>
      <w:r w:rsidRPr="00F60885">
        <w:rPr>
          <w:rFonts w:eastAsiaTheme="minorEastAsia"/>
          <w:b/>
        </w:rPr>
        <w:t>: Deaths for males and females between the ages of 18 and 40 years in Northern Ireland. Grey ban</w:t>
      </w:r>
      <w:r w:rsidR="003455A7">
        <w:rPr>
          <w:rFonts w:eastAsiaTheme="minorEastAsia"/>
          <w:b/>
        </w:rPr>
        <w:t>d indicates the years 1971-1973</w:t>
      </w:r>
    </w:p>
    <w:p w14:paraId="124BE338" w14:textId="19692F0E" w:rsidR="00B447E0" w:rsidRDefault="0029467E" w:rsidP="000B02C5">
      <w:pPr>
        <w:spacing w:line="480" w:lineRule="auto"/>
      </w:pPr>
      <w:r>
        <w:t>Within Figure 2</w:t>
      </w:r>
      <w:r w:rsidR="00EB4CAE">
        <w:t>b</w:t>
      </w:r>
      <w:r>
        <w:t>, the large horizontal grey band indicates the age range 15 to 45 years, within which further analyses will focus. Figure 4 shows level plots for males and females for this age range only, using a slightly different colour scheme and range of log</w:t>
      </w:r>
      <w:r>
        <w:rPr>
          <w:vertAlign w:val="subscript"/>
        </w:rPr>
        <w:t>10</w:t>
      </w:r>
      <w:r>
        <w:t xml:space="preserve"> mortality values to before. Within this plot the effect of the Troubles on male mortality is clearer, and appears as a band of light red, then dark red, cells after the early 1970s after orange and dark red cells in earlier years. Again, no similar pattern is seen for females. The disruption to earlier trends for males appears mainly to affect males once they have reached adulthood, and to be sharpest at younger adult ages, from around the ages of 18 to 21 years of age. </w:t>
      </w:r>
    </w:p>
    <w:p w14:paraId="100783A1" w14:textId="6A48E39A" w:rsidR="00F60885" w:rsidRPr="00F60885" w:rsidRDefault="00F60885" w:rsidP="00F60885">
      <w:pPr>
        <w:spacing w:line="480" w:lineRule="auto"/>
        <w:jc w:val="center"/>
        <w:rPr>
          <w:rFonts w:eastAsiaTheme="minorEastAsia"/>
          <w:i/>
        </w:rPr>
      </w:pPr>
    </w:p>
    <w:p w14:paraId="0B51705D" w14:textId="649BF45C" w:rsidR="00F60885" w:rsidRP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4</w:t>
      </w:r>
      <w:r w:rsidRPr="00F60885">
        <w:rPr>
          <w:rFonts w:eastAsiaTheme="minorEastAsia"/>
          <w:b/>
        </w:rPr>
        <w:t xml:space="preserve">: </w:t>
      </w:r>
      <w:r>
        <w:rPr>
          <w:rFonts w:eastAsiaTheme="minorEastAsia"/>
          <w:b/>
        </w:rPr>
        <w:t>Level plot for log10 death rates for males and females between the ages of 15 and 45 years in Northern Ireland 1922-2013.</w:t>
      </w:r>
    </w:p>
    <w:p w14:paraId="366AAC5A" w14:textId="41E53D1D" w:rsidR="0029467E" w:rsidRPr="003400A5" w:rsidRDefault="0029467E" w:rsidP="003400A5">
      <w:pPr>
        <w:pStyle w:val="Heading3"/>
        <w:rPr>
          <w:color w:val="auto"/>
        </w:rPr>
      </w:pPr>
      <w:r w:rsidRPr="003400A5">
        <w:rPr>
          <w:color w:val="auto"/>
        </w:rPr>
        <w:t xml:space="preserve">Modelling </w:t>
      </w:r>
    </w:p>
    <w:p w14:paraId="56D99FD2" w14:textId="6B52DDE7" w:rsidR="00307E81" w:rsidRDefault="00D055BC" w:rsidP="000B02C5">
      <w:pPr>
        <w:spacing w:line="480" w:lineRule="auto"/>
      </w:pPr>
      <w:r>
        <w:t xml:space="preserve">Figure 5 </w:t>
      </w:r>
      <w:r w:rsidR="001F32F4">
        <w:t>comprises three rows, each presenting a log</w:t>
      </w:r>
      <w:r w:rsidR="001F32F4" w:rsidRPr="001F32F4">
        <w:rPr>
          <w:vertAlign w:val="subscript"/>
        </w:rPr>
        <w:t>10</w:t>
      </w:r>
      <w:r w:rsidR="001F32F4">
        <w:t xml:space="preserve"> mortality surface for males over the age range 15 to 40 years and for all years. On the top row, labelled ‘predicted’, the model predicted surface, including the parameter for the Troubles, is presented; on the middle row, labelled ‘counterfactual’, the model prediction for a counterfactual scenario, in which the Troubles term is not applied, is presented; and in the bottom row, labelled ‘actual’, the actual log</w:t>
      </w:r>
      <w:r w:rsidR="001F32F4" w:rsidRPr="001F32F4">
        <w:rPr>
          <w:vertAlign w:val="subscript"/>
        </w:rPr>
        <w:t>10</w:t>
      </w:r>
      <w:r w:rsidR="001F32F4">
        <w:t xml:space="preserve"> mortality values from the data are presented. </w:t>
      </w:r>
      <w:r w:rsidR="006C78A1">
        <w:t xml:space="preserve">We </w:t>
      </w:r>
      <w:r w:rsidR="001F32F4">
        <w:t xml:space="preserve">can see that the model is relatively effective at capturing the broad pattern and features of the actual surface, though is clearly and necessarily a somewhat stylised representation of the actual </w:t>
      </w:r>
      <w:r w:rsidR="009140E4">
        <w:t>data surface</w:t>
      </w:r>
      <w:r w:rsidR="001F32F4">
        <w:t xml:space="preserve">. </w:t>
      </w:r>
    </w:p>
    <w:p w14:paraId="05CF5E62" w14:textId="0950866E" w:rsidR="00F60885" w:rsidRPr="00F60885" w:rsidRDefault="00F60885" w:rsidP="003455A7">
      <w:pPr>
        <w:spacing w:line="480" w:lineRule="auto"/>
        <w:rPr>
          <w:rFonts w:eastAsiaTheme="minorEastAsia"/>
          <w:i/>
        </w:rPr>
      </w:pPr>
    </w:p>
    <w:p w14:paraId="7F648448" w14:textId="31DF6DC6" w:rsid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5</w:t>
      </w:r>
      <w:r w:rsidRPr="00F60885">
        <w:rPr>
          <w:rFonts w:eastAsiaTheme="minorEastAsia"/>
          <w:b/>
        </w:rPr>
        <w:t xml:space="preserve">: </w:t>
      </w:r>
      <w:r>
        <w:rPr>
          <w:rFonts w:eastAsiaTheme="minorEastAsia"/>
          <w:b/>
        </w:rPr>
        <w:t>Level plots for modelled death rates (top row), modelled counterfactual death rates (middle row) and actual death rates for males aged 15-45 years in Northern Ireland, 1922-2013</w:t>
      </w:r>
    </w:p>
    <w:p w14:paraId="56DB5403" w14:textId="7141EA9F" w:rsidR="00F60885" w:rsidRPr="00F60885" w:rsidRDefault="00F60885" w:rsidP="00F60885">
      <w:pPr>
        <w:spacing w:line="480" w:lineRule="auto"/>
        <w:jc w:val="center"/>
        <w:rPr>
          <w:rFonts w:eastAsiaTheme="minorEastAsia"/>
          <w:i/>
        </w:rPr>
      </w:pPr>
    </w:p>
    <w:p w14:paraId="3732EDDA" w14:textId="10EDE283" w:rsid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6</w:t>
      </w:r>
      <w:r w:rsidRPr="00F60885">
        <w:rPr>
          <w:rFonts w:eastAsiaTheme="minorEastAsia"/>
          <w:b/>
        </w:rPr>
        <w:t xml:space="preserve">: </w:t>
      </w:r>
      <w:r>
        <w:rPr>
          <w:rFonts w:eastAsiaTheme="minorEastAsia"/>
          <w:b/>
        </w:rPr>
        <w:t>Level plots of residuals between modelled and actual log10 death rates by age and year for males 15 to 45 years in Northern Ireland, 1922-2013. Red indicates model overestimation, blue underestimation, and shade magnitude of error</w:t>
      </w:r>
    </w:p>
    <w:p w14:paraId="1EE4883A" w14:textId="6F46754D" w:rsidR="00B447E0" w:rsidRDefault="00095E96" w:rsidP="000B02C5">
      <w:pPr>
        <w:spacing w:line="480" w:lineRule="auto"/>
      </w:pPr>
      <w:r>
        <w:t>Systemic bias in over-estimation or under-estimation of age-year specific mortality risks can be explored by looking at the surface of residuals between the predicted and actual surfaces, as shown in Figure 6:</w:t>
      </w:r>
      <w:r w:rsidR="009140E4">
        <w:t xml:space="preserve"> </w:t>
      </w:r>
      <w:r w:rsidR="00D055BC">
        <w:t>within this figure red cells indicate model over-</w:t>
      </w:r>
      <w:r w:rsidR="009140E4">
        <w:t xml:space="preserve">estimation, </w:t>
      </w:r>
      <w:r w:rsidR="00D055BC">
        <w:t xml:space="preserve">blue cells under-estimation, and the shade of cells </w:t>
      </w:r>
      <w:r w:rsidR="009140E4">
        <w:t>the magnitude of error</w:t>
      </w:r>
      <w:r w:rsidR="00D055BC">
        <w:t xml:space="preserve">. </w:t>
      </w:r>
      <w:r w:rsidR="009140E4">
        <w:t>S</w:t>
      </w:r>
      <w:r>
        <w:t xml:space="preserve">ystemic biases in these estimates </w:t>
      </w:r>
      <w:r w:rsidR="009140E4">
        <w:t xml:space="preserve">appear </w:t>
      </w:r>
      <w:r>
        <w:t xml:space="preserve">as large ‘patches’ of cells with positive or negative residuals, as well as discontinuities in the data. </w:t>
      </w:r>
      <w:r w:rsidR="009140E4">
        <w:t xml:space="preserve">There is </w:t>
      </w:r>
      <w:r>
        <w:t xml:space="preserve">a vertical band of red cells at younger ages in 1939; </w:t>
      </w:r>
      <w:r w:rsidR="009140E4">
        <w:t xml:space="preserve">suggesting </w:t>
      </w:r>
      <w:r>
        <w:t>the model underestimates deaths in younger males during World War Two</w:t>
      </w:r>
      <w:r w:rsidR="009140E4">
        <w:t xml:space="preserve">; this </w:t>
      </w:r>
      <w:r>
        <w:t xml:space="preserve">should not be surprising given the model does not include any terms to represent this event. </w:t>
      </w:r>
      <w:r w:rsidR="009140E4">
        <w:t>F</w:t>
      </w:r>
      <w:r w:rsidR="00F73E1F">
        <w:t>igure 7</w:t>
      </w:r>
      <w:r w:rsidR="00044023">
        <w:t xml:space="preserve"> shows the model fit as a </w:t>
      </w:r>
      <w:r w:rsidR="009140E4">
        <w:t xml:space="preserve">function of the decay rate, k. The model has a </w:t>
      </w:r>
      <w:r w:rsidR="00F73E1F">
        <w:t>best fit when k is 9.748%</w:t>
      </w:r>
      <w:r w:rsidR="009140E4">
        <w:t xml:space="preserve">, suggesting a </w:t>
      </w:r>
      <w:r w:rsidR="00F73E1F">
        <w:t>half</w:t>
      </w:r>
      <w:r w:rsidR="009140E4">
        <w:t>-</w:t>
      </w:r>
      <w:r w:rsidR="00F73E1F">
        <w:t xml:space="preserve">life of the Troubles </w:t>
      </w:r>
      <w:r w:rsidR="009140E4">
        <w:t xml:space="preserve">of </w:t>
      </w:r>
      <w:r w:rsidR="00F73E1F">
        <w:t xml:space="preserve">6.76 years. </w:t>
      </w:r>
    </w:p>
    <w:p w14:paraId="31FDFB82" w14:textId="08D2CC9A" w:rsidR="00F60885" w:rsidRPr="00044023" w:rsidRDefault="00F60885" w:rsidP="00044023">
      <w:pPr>
        <w:spacing w:line="480" w:lineRule="auto"/>
        <w:jc w:val="center"/>
        <w:rPr>
          <w:i/>
        </w:rPr>
      </w:pPr>
    </w:p>
    <w:p w14:paraId="7A3D6703" w14:textId="210A02B6" w:rsidR="00F60885" w:rsidRPr="00044023" w:rsidRDefault="003455A7" w:rsidP="00044023">
      <w:pPr>
        <w:spacing w:line="480" w:lineRule="auto"/>
        <w:jc w:val="center"/>
        <w:rPr>
          <w:b/>
        </w:rPr>
      </w:pPr>
      <w:r>
        <w:rPr>
          <w:b/>
        </w:rPr>
        <w:t>Figure 7</w:t>
      </w:r>
      <w:r w:rsidR="00F60885" w:rsidRPr="00044023">
        <w:rPr>
          <w:b/>
        </w:rPr>
        <w:t xml:space="preserve">: </w:t>
      </w:r>
      <w:r w:rsidR="00044023" w:rsidRPr="00044023">
        <w:rPr>
          <w:b/>
        </w:rPr>
        <w:t xml:space="preserve">The relationship between decay parameter and model fit using </w:t>
      </w:r>
      <w:r>
        <w:rPr>
          <w:b/>
        </w:rPr>
        <w:t>AIC. (Lower AIC value = better)</w:t>
      </w:r>
    </w:p>
    <w:p w14:paraId="1D937919" w14:textId="77777777" w:rsidR="00F73E1F" w:rsidRPr="003400A5" w:rsidRDefault="00F73E1F" w:rsidP="003400A5">
      <w:pPr>
        <w:pStyle w:val="Heading3"/>
        <w:rPr>
          <w:color w:val="auto"/>
        </w:rPr>
      </w:pPr>
      <w:r w:rsidRPr="003400A5">
        <w:rPr>
          <w:color w:val="auto"/>
        </w:rPr>
        <w:t>Counterfactual estimation</w:t>
      </w:r>
    </w:p>
    <w:p w14:paraId="02EA21D5" w14:textId="77777777" w:rsidR="00044023" w:rsidRDefault="00F73E1F" w:rsidP="000B02C5">
      <w:pPr>
        <w:spacing w:line="480" w:lineRule="auto"/>
      </w:pPr>
      <w:r>
        <w:t xml:space="preserve">Using the approach described in the methods section, the number of additional deaths attributed to the Troubles by the model can be estimated by applying mortality risks to population sizes under both the ‘with-Troubles’ and ‘without-Troubles’ scenarios. </w:t>
      </w:r>
      <w:r w:rsidR="00F33FF6">
        <w:t>Figure 8 shows the estimated number of additional deaths at each age and year after 1972</w:t>
      </w:r>
      <w:r w:rsidR="00143745">
        <w:t xml:space="preserve">. These tend to be concentrated at the youngest </w:t>
      </w:r>
      <w:r w:rsidR="00143745">
        <w:lastRenderedPageBreak/>
        <w:t>adult ages, then reduce with age. This is further confirmed by extracting the coefficient associated with the Troubles for each age, as shown in Figure 9</w:t>
      </w:r>
      <w:r w:rsidR="00EF78B9">
        <w:t>, which include the equivalent coefficients for females if using the same model specification</w:t>
      </w:r>
      <w:r w:rsidR="00143745">
        <w:t xml:space="preserve">. </w:t>
      </w:r>
    </w:p>
    <w:p w14:paraId="3526F2AC" w14:textId="77777777" w:rsidR="003455A7" w:rsidRDefault="003455A7" w:rsidP="000B02C5">
      <w:pPr>
        <w:spacing w:line="480" w:lineRule="auto"/>
      </w:pPr>
    </w:p>
    <w:p w14:paraId="32386F80" w14:textId="77777777" w:rsidR="003455A7" w:rsidRDefault="003455A7" w:rsidP="000B02C5">
      <w:pPr>
        <w:spacing w:line="480" w:lineRule="auto"/>
      </w:pPr>
    </w:p>
    <w:p w14:paraId="3A1A5220" w14:textId="19FFE6B8" w:rsidR="003455A7" w:rsidRDefault="003455A7" w:rsidP="000B02C5">
      <w:pPr>
        <w:spacing w:line="480" w:lineRule="auto"/>
      </w:pPr>
    </w:p>
    <w:p w14:paraId="4926357C" w14:textId="34AE5ABC" w:rsidR="00044023" w:rsidRPr="00044023" w:rsidRDefault="003455A7" w:rsidP="00044023">
      <w:pPr>
        <w:spacing w:line="480" w:lineRule="auto"/>
        <w:jc w:val="center"/>
        <w:rPr>
          <w:b/>
        </w:rPr>
      </w:pPr>
      <w:r>
        <w:rPr>
          <w:b/>
        </w:rPr>
        <w:t>Figure 8</w:t>
      </w:r>
      <w:r w:rsidR="00044023" w:rsidRPr="00044023">
        <w:rPr>
          <w:b/>
        </w:rPr>
        <w:t>: Model estimated ‘excess deaths’ due to the Troubles from 1970 onwards, in males in Northern Ireland aged 15-45 years. Colours indicate numbers of deaths by age and year; th</w:t>
      </w:r>
      <w:r>
        <w:rPr>
          <w:b/>
        </w:rPr>
        <w:t>e legend is shown on the right.</w:t>
      </w:r>
    </w:p>
    <w:p w14:paraId="5E96AA0C" w14:textId="6B20A7B1" w:rsidR="00F73E1F" w:rsidRDefault="00EF78B9" w:rsidP="000B02C5">
      <w:pPr>
        <w:spacing w:line="480" w:lineRule="auto"/>
      </w:pPr>
      <w:r>
        <w:t xml:space="preserve">For males the effect is positive at almost all ages, and is largest at age 18, then falls at most older ages; for females it tends to be negative, suggesting the model may be </w:t>
      </w:r>
      <w:proofErr w:type="spellStart"/>
      <w:r>
        <w:t>misspecified</w:t>
      </w:r>
      <w:proofErr w:type="spellEnd"/>
      <w:r>
        <w:t xml:space="preserve"> for females, and instead </w:t>
      </w:r>
      <w:r w:rsidR="009140E4">
        <w:t xml:space="preserve">captures </w:t>
      </w:r>
      <w:r>
        <w:t xml:space="preserve">broader continual improvements in mortality risks over this time period. </w:t>
      </w:r>
      <w:r w:rsidR="00143745">
        <w:t xml:space="preserve">Table 1 shows the number of estimated additional </w:t>
      </w:r>
      <w:r>
        <w:t xml:space="preserve">male </w:t>
      </w:r>
      <w:r w:rsidR="00143745">
        <w:t>deaths by year and age group in five year interva</w:t>
      </w:r>
      <w:r w:rsidR="00C920BF">
        <w:t xml:space="preserve">ls to the nearest whole number for each year from 1972 to 2013, with margins indicating the total number by year and age. This estimates nearly 2800 additional deaths by 2013, with over 1000 occurring in the first three years of the conflict from 1972 to 1975. Looking by age, over half of the estimated deaths (1470 out of 2776) are estimated to have occurred in boys and men aged between 15 and 25 years inclusive. </w:t>
      </w:r>
    </w:p>
    <w:p w14:paraId="4C933FA5" w14:textId="77777777" w:rsidR="0046718C" w:rsidRDefault="0046718C" w:rsidP="000B02C5">
      <w:pPr>
        <w:spacing w:line="480" w:lineRule="auto"/>
      </w:pPr>
    </w:p>
    <w:p w14:paraId="47FD77D4" w14:textId="0942F238" w:rsidR="0046718C" w:rsidRDefault="0046718C" w:rsidP="000B02C5">
      <w:pPr>
        <w:spacing w:line="480" w:lineRule="auto"/>
      </w:pPr>
      <w:bookmarkStart w:id="0" w:name="_GoBack"/>
      <w:bookmarkEnd w:id="0"/>
    </w:p>
    <w:p w14:paraId="3856CCD3" w14:textId="70E09015" w:rsidR="00044023" w:rsidRPr="00044023" w:rsidRDefault="00044023" w:rsidP="00044023">
      <w:pPr>
        <w:spacing w:line="480" w:lineRule="auto"/>
        <w:jc w:val="center"/>
        <w:rPr>
          <w:b/>
        </w:rPr>
      </w:pPr>
      <w:r w:rsidRPr="00044023">
        <w:rPr>
          <w:b/>
        </w:rPr>
        <w:t xml:space="preserve">Figure </w:t>
      </w:r>
      <w:r>
        <w:rPr>
          <w:b/>
        </w:rPr>
        <w:t>9</w:t>
      </w:r>
      <w:r w:rsidRPr="00044023">
        <w:rPr>
          <w:b/>
        </w:rPr>
        <w:t xml:space="preserve">: </w:t>
      </w:r>
      <w:r>
        <w:rPr>
          <w:b/>
        </w:rPr>
        <w:t>Coefficient of the ‘Troubles parameter’ by age in single years for males (blue triangle) and females (red circle).</w:t>
      </w:r>
    </w:p>
    <w:p w14:paraId="372191A8" w14:textId="3B6DBA3B" w:rsidR="00044023" w:rsidRDefault="00044023">
      <w:r>
        <w:br w:type="page"/>
      </w:r>
    </w:p>
    <w:tbl>
      <w:tblPr>
        <w:tblW w:w="7320" w:type="dxa"/>
        <w:tblLook w:val="04A0" w:firstRow="1" w:lastRow="0" w:firstColumn="1" w:lastColumn="0" w:noHBand="0" w:noVBand="1"/>
      </w:tblPr>
      <w:tblGrid>
        <w:gridCol w:w="960"/>
        <w:gridCol w:w="795"/>
        <w:gridCol w:w="794"/>
        <w:gridCol w:w="794"/>
        <w:gridCol w:w="794"/>
        <w:gridCol w:w="794"/>
        <w:gridCol w:w="794"/>
        <w:gridCol w:w="680"/>
        <w:gridCol w:w="1340"/>
      </w:tblGrid>
      <w:tr w:rsidR="00044023" w:rsidRPr="00044023" w14:paraId="095F3B05" w14:textId="77777777" w:rsidTr="00044023">
        <w:trPr>
          <w:trHeight w:val="284"/>
        </w:trPr>
        <w:tc>
          <w:tcPr>
            <w:tcW w:w="960" w:type="dxa"/>
            <w:tcBorders>
              <w:top w:val="nil"/>
              <w:left w:val="nil"/>
              <w:bottom w:val="nil"/>
              <w:right w:val="nil"/>
            </w:tcBorders>
            <w:shd w:val="clear" w:color="auto" w:fill="auto"/>
            <w:noWrap/>
            <w:vAlign w:val="bottom"/>
            <w:hideMark/>
          </w:tcPr>
          <w:p w14:paraId="2B5EB039" w14:textId="77777777" w:rsidR="00044023" w:rsidRPr="00044023" w:rsidRDefault="00044023" w:rsidP="00044023">
            <w:pPr>
              <w:spacing w:after="0" w:line="240" w:lineRule="auto"/>
              <w:rPr>
                <w:rFonts w:ascii="Times New Roman" w:eastAsia="Times New Roman" w:hAnsi="Times New Roman" w:cs="Times New Roman"/>
                <w:sz w:val="20"/>
                <w:szCs w:val="24"/>
                <w:lang w:eastAsia="en-GB"/>
              </w:rPr>
            </w:pPr>
          </w:p>
        </w:tc>
        <w:tc>
          <w:tcPr>
            <w:tcW w:w="4340" w:type="dxa"/>
            <w:gridSpan w:val="6"/>
            <w:tcBorders>
              <w:top w:val="nil"/>
              <w:left w:val="single" w:sz="4" w:space="0" w:color="auto"/>
              <w:bottom w:val="nil"/>
              <w:right w:val="single" w:sz="4" w:space="0" w:color="000000"/>
            </w:tcBorders>
            <w:shd w:val="clear" w:color="auto" w:fill="auto"/>
            <w:noWrap/>
            <w:vAlign w:val="bottom"/>
            <w:hideMark/>
          </w:tcPr>
          <w:p w14:paraId="6A9B4BED" w14:textId="77777777" w:rsidR="00044023" w:rsidRPr="00044023" w:rsidRDefault="00044023" w:rsidP="00044023">
            <w:pPr>
              <w:spacing w:after="0" w:line="240" w:lineRule="auto"/>
              <w:jc w:val="center"/>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Age Group</w:t>
            </w:r>
          </w:p>
        </w:tc>
        <w:tc>
          <w:tcPr>
            <w:tcW w:w="680" w:type="dxa"/>
            <w:tcBorders>
              <w:top w:val="nil"/>
              <w:left w:val="nil"/>
              <w:bottom w:val="nil"/>
              <w:right w:val="nil"/>
            </w:tcBorders>
            <w:shd w:val="clear" w:color="auto" w:fill="auto"/>
            <w:noWrap/>
            <w:vAlign w:val="bottom"/>
            <w:hideMark/>
          </w:tcPr>
          <w:p w14:paraId="62BCBF67" w14:textId="77777777" w:rsidR="00044023" w:rsidRPr="00044023" w:rsidRDefault="00044023" w:rsidP="00044023">
            <w:pPr>
              <w:spacing w:after="0" w:line="240" w:lineRule="auto"/>
              <w:jc w:val="center"/>
              <w:rPr>
                <w:rFonts w:ascii="Calibri" w:eastAsia="Times New Roman" w:hAnsi="Calibri" w:cs="Times New Roman"/>
                <w:b/>
                <w:bCs/>
                <w:color w:val="000000"/>
                <w:sz w:val="20"/>
                <w:lang w:eastAsia="en-GB"/>
              </w:rPr>
            </w:pPr>
          </w:p>
        </w:tc>
        <w:tc>
          <w:tcPr>
            <w:tcW w:w="1340" w:type="dxa"/>
            <w:tcBorders>
              <w:top w:val="nil"/>
              <w:left w:val="nil"/>
              <w:bottom w:val="nil"/>
              <w:right w:val="nil"/>
            </w:tcBorders>
            <w:shd w:val="clear" w:color="auto" w:fill="auto"/>
            <w:noWrap/>
            <w:vAlign w:val="bottom"/>
            <w:hideMark/>
          </w:tcPr>
          <w:p w14:paraId="7E07B95E" w14:textId="77777777" w:rsidR="00044023" w:rsidRPr="00044023" w:rsidRDefault="00044023" w:rsidP="00044023">
            <w:pPr>
              <w:spacing w:after="0" w:line="240" w:lineRule="auto"/>
              <w:rPr>
                <w:rFonts w:ascii="Times New Roman" w:eastAsia="Times New Roman" w:hAnsi="Times New Roman" w:cs="Times New Roman"/>
                <w:sz w:val="20"/>
                <w:szCs w:val="20"/>
                <w:lang w:eastAsia="en-GB"/>
              </w:rPr>
            </w:pPr>
          </w:p>
        </w:tc>
      </w:tr>
      <w:tr w:rsidR="00044023" w:rsidRPr="00044023" w14:paraId="7ED1A1E2" w14:textId="77777777" w:rsidTr="00044023">
        <w:trPr>
          <w:trHeight w:val="288"/>
        </w:trPr>
        <w:tc>
          <w:tcPr>
            <w:tcW w:w="960" w:type="dxa"/>
            <w:tcBorders>
              <w:top w:val="nil"/>
              <w:left w:val="nil"/>
              <w:bottom w:val="nil"/>
              <w:right w:val="nil"/>
            </w:tcBorders>
            <w:shd w:val="clear" w:color="auto" w:fill="auto"/>
            <w:noWrap/>
            <w:vAlign w:val="bottom"/>
            <w:hideMark/>
          </w:tcPr>
          <w:p w14:paraId="2567E9A3"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Year</w:t>
            </w:r>
          </w:p>
        </w:tc>
        <w:tc>
          <w:tcPr>
            <w:tcW w:w="724" w:type="dxa"/>
            <w:tcBorders>
              <w:top w:val="nil"/>
              <w:left w:val="single" w:sz="4" w:space="0" w:color="auto"/>
              <w:bottom w:val="nil"/>
              <w:right w:val="nil"/>
            </w:tcBorders>
            <w:shd w:val="clear" w:color="auto" w:fill="auto"/>
            <w:noWrap/>
            <w:vAlign w:val="bottom"/>
            <w:hideMark/>
          </w:tcPr>
          <w:p w14:paraId="1E7ADC3F"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[15,20]</w:t>
            </w:r>
          </w:p>
        </w:tc>
        <w:tc>
          <w:tcPr>
            <w:tcW w:w="724" w:type="dxa"/>
            <w:tcBorders>
              <w:top w:val="nil"/>
              <w:left w:val="nil"/>
              <w:bottom w:val="nil"/>
              <w:right w:val="nil"/>
            </w:tcBorders>
            <w:shd w:val="clear" w:color="auto" w:fill="auto"/>
            <w:noWrap/>
            <w:vAlign w:val="bottom"/>
            <w:hideMark/>
          </w:tcPr>
          <w:p w14:paraId="6A60220B"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(20,25]</w:t>
            </w:r>
          </w:p>
        </w:tc>
        <w:tc>
          <w:tcPr>
            <w:tcW w:w="723" w:type="dxa"/>
            <w:tcBorders>
              <w:top w:val="nil"/>
              <w:left w:val="nil"/>
              <w:bottom w:val="nil"/>
              <w:right w:val="nil"/>
            </w:tcBorders>
            <w:shd w:val="clear" w:color="auto" w:fill="auto"/>
            <w:noWrap/>
            <w:vAlign w:val="bottom"/>
            <w:hideMark/>
          </w:tcPr>
          <w:p w14:paraId="0506F2F1"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(25,30]</w:t>
            </w:r>
          </w:p>
        </w:tc>
        <w:tc>
          <w:tcPr>
            <w:tcW w:w="723" w:type="dxa"/>
            <w:tcBorders>
              <w:top w:val="nil"/>
              <w:left w:val="nil"/>
              <w:bottom w:val="nil"/>
              <w:right w:val="nil"/>
            </w:tcBorders>
            <w:shd w:val="clear" w:color="auto" w:fill="auto"/>
            <w:noWrap/>
            <w:vAlign w:val="bottom"/>
            <w:hideMark/>
          </w:tcPr>
          <w:p w14:paraId="76A2AD16"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(30,35]</w:t>
            </w:r>
          </w:p>
        </w:tc>
        <w:tc>
          <w:tcPr>
            <w:tcW w:w="723" w:type="dxa"/>
            <w:tcBorders>
              <w:top w:val="nil"/>
              <w:left w:val="nil"/>
              <w:bottom w:val="nil"/>
              <w:right w:val="nil"/>
            </w:tcBorders>
            <w:shd w:val="clear" w:color="auto" w:fill="auto"/>
            <w:noWrap/>
            <w:vAlign w:val="bottom"/>
            <w:hideMark/>
          </w:tcPr>
          <w:p w14:paraId="59D72545"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(35,40]</w:t>
            </w:r>
          </w:p>
        </w:tc>
        <w:tc>
          <w:tcPr>
            <w:tcW w:w="723" w:type="dxa"/>
            <w:tcBorders>
              <w:top w:val="nil"/>
              <w:left w:val="nil"/>
              <w:bottom w:val="nil"/>
              <w:right w:val="single" w:sz="4" w:space="0" w:color="auto"/>
            </w:tcBorders>
            <w:shd w:val="clear" w:color="auto" w:fill="auto"/>
            <w:noWrap/>
            <w:vAlign w:val="bottom"/>
            <w:hideMark/>
          </w:tcPr>
          <w:p w14:paraId="2DBDA0B5"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(40,45]</w:t>
            </w:r>
          </w:p>
        </w:tc>
        <w:tc>
          <w:tcPr>
            <w:tcW w:w="680" w:type="dxa"/>
            <w:tcBorders>
              <w:top w:val="nil"/>
              <w:left w:val="nil"/>
              <w:bottom w:val="nil"/>
              <w:right w:val="nil"/>
            </w:tcBorders>
            <w:shd w:val="clear" w:color="auto" w:fill="auto"/>
            <w:noWrap/>
            <w:vAlign w:val="bottom"/>
            <w:hideMark/>
          </w:tcPr>
          <w:p w14:paraId="5ECB1505"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Total</w:t>
            </w:r>
          </w:p>
        </w:tc>
        <w:tc>
          <w:tcPr>
            <w:tcW w:w="1340" w:type="dxa"/>
            <w:tcBorders>
              <w:top w:val="nil"/>
              <w:left w:val="nil"/>
              <w:bottom w:val="nil"/>
              <w:right w:val="nil"/>
            </w:tcBorders>
            <w:shd w:val="clear" w:color="auto" w:fill="auto"/>
            <w:noWrap/>
            <w:vAlign w:val="bottom"/>
            <w:hideMark/>
          </w:tcPr>
          <w:p w14:paraId="2FF255C8"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Cumulative</w:t>
            </w:r>
          </w:p>
        </w:tc>
      </w:tr>
      <w:tr w:rsidR="00044023" w:rsidRPr="00044023" w14:paraId="3CBC7996" w14:textId="77777777" w:rsidTr="00044023">
        <w:trPr>
          <w:trHeight w:val="136"/>
        </w:trPr>
        <w:tc>
          <w:tcPr>
            <w:tcW w:w="960" w:type="dxa"/>
            <w:tcBorders>
              <w:top w:val="nil"/>
              <w:left w:val="nil"/>
              <w:bottom w:val="nil"/>
              <w:right w:val="nil"/>
            </w:tcBorders>
            <w:shd w:val="clear" w:color="auto" w:fill="auto"/>
            <w:noWrap/>
            <w:vAlign w:val="bottom"/>
            <w:hideMark/>
          </w:tcPr>
          <w:p w14:paraId="4B3C5F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1972</w:t>
            </w:r>
          </w:p>
        </w:tc>
        <w:tc>
          <w:tcPr>
            <w:tcW w:w="724" w:type="dxa"/>
            <w:tcBorders>
              <w:top w:val="nil"/>
              <w:left w:val="single" w:sz="4" w:space="0" w:color="auto"/>
              <w:bottom w:val="nil"/>
              <w:right w:val="nil"/>
            </w:tcBorders>
            <w:shd w:val="clear" w:color="auto" w:fill="auto"/>
            <w:noWrap/>
            <w:vAlign w:val="bottom"/>
            <w:hideMark/>
          </w:tcPr>
          <w:p w14:paraId="661D0A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101</w:t>
            </w:r>
          </w:p>
        </w:tc>
        <w:tc>
          <w:tcPr>
            <w:tcW w:w="724" w:type="dxa"/>
            <w:tcBorders>
              <w:top w:val="nil"/>
              <w:left w:val="nil"/>
              <w:bottom w:val="nil"/>
              <w:right w:val="nil"/>
            </w:tcBorders>
            <w:shd w:val="clear" w:color="auto" w:fill="auto"/>
            <w:noWrap/>
            <w:vAlign w:val="bottom"/>
            <w:hideMark/>
          </w:tcPr>
          <w:p w14:paraId="032335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78</w:t>
            </w:r>
          </w:p>
        </w:tc>
        <w:tc>
          <w:tcPr>
            <w:tcW w:w="723" w:type="dxa"/>
            <w:tcBorders>
              <w:top w:val="nil"/>
              <w:left w:val="nil"/>
              <w:bottom w:val="nil"/>
              <w:right w:val="nil"/>
            </w:tcBorders>
            <w:shd w:val="clear" w:color="auto" w:fill="auto"/>
            <w:noWrap/>
            <w:vAlign w:val="bottom"/>
            <w:hideMark/>
          </w:tcPr>
          <w:p w14:paraId="78C0A88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723" w:type="dxa"/>
            <w:tcBorders>
              <w:top w:val="nil"/>
              <w:left w:val="nil"/>
              <w:bottom w:val="nil"/>
              <w:right w:val="nil"/>
            </w:tcBorders>
            <w:shd w:val="clear" w:color="auto" w:fill="auto"/>
            <w:noWrap/>
            <w:vAlign w:val="bottom"/>
            <w:hideMark/>
          </w:tcPr>
          <w:p w14:paraId="120F4A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w:t>
            </w:r>
          </w:p>
        </w:tc>
        <w:tc>
          <w:tcPr>
            <w:tcW w:w="723" w:type="dxa"/>
            <w:tcBorders>
              <w:top w:val="nil"/>
              <w:left w:val="nil"/>
              <w:bottom w:val="nil"/>
              <w:right w:val="nil"/>
            </w:tcBorders>
            <w:shd w:val="clear" w:color="auto" w:fill="auto"/>
            <w:noWrap/>
            <w:vAlign w:val="bottom"/>
            <w:hideMark/>
          </w:tcPr>
          <w:p w14:paraId="6FB449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3" w:type="dxa"/>
            <w:tcBorders>
              <w:top w:val="nil"/>
              <w:left w:val="nil"/>
              <w:bottom w:val="nil"/>
              <w:right w:val="single" w:sz="4" w:space="0" w:color="auto"/>
            </w:tcBorders>
            <w:shd w:val="clear" w:color="auto" w:fill="auto"/>
            <w:noWrap/>
            <w:vAlign w:val="bottom"/>
            <w:hideMark/>
          </w:tcPr>
          <w:p w14:paraId="727FF5F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46</w:t>
            </w:r>
          </w:p>
        </w:tc>
        <w:tc>
          <w:tcPr>
            <w:tcW w:w="680" w:type="dxa"/>
            <w:tcBorders>
              <w:top w:val="nil"/>
              <w:left w:val="nil"/>
              <w:bottom w:val="nil"/>
              <w:right w:val="nil"/>
            </w:tcBorders>
            <w:shd w:val="clear" w:color="auto" w:fill="auto"/>
            <w:noWrap/>
            <w:vAlign w:val="bottom"/>
            <w:hideMark/>
          </w:tcPr>
          <w:p w14:paraId="320C036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322</w:t>
            </w:r>
          </w:p>
        </w:tc>
        <w:tc>
          <w:tcPr>
            <w:tcW w:w="1340" w:type="dxa"/>
            <w:tcBorders>
              <w:top w:val="nil"/>
              <w:left w:val="nil"/>
              <w:bottom w:val="nil"/>
              <w:right w:val="nil"/>
            </w:tcBorders>
            <w:shd w:val="clear" w:color="auto" w:fill="auto"/>
            <w:noWrap/>
            <w:vAlign w:val="bottom"/>
            <w:hideMark/>
          </w:tcPr>
          <w:p w14:paraId="11EC992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322</w:t>
            </w:r>
          </w:p>
        </w:tc>
      </w:tr>
      <w:tr w:rsidR="00044023" w:rsidRPr="00044023" w14:paraId="3386F714" w14:textId="77777777" w:rsidTr="00044023">
        <w:trPr>
          <w:trHeight w:val="182"/>
        </w:trPr>
        <w:tc>
          <w:tcPr>
            <w:tcW w:w="960" w:type="dxa"/>
            <w:tcBorders>
              <w:top w:val="nil"/>
              <w:left w:val="nil"/>
              <w:bottom w:val="nil"/>
              <w:right w:val="nil"/>
            </w:tcBorders>
            <w:shd w:val="clear" w:color="auto" w:fill="auto"/>
            <w:noWrap/>
            <w:vAlign w:val="bottom"/>
            <w:hideMark/>
          </w:tcPr>
          <w:p w14:paraId="2591321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1973</w:t>
            </w:r>
          </w:p>
        </w:tc>
        <w:tc>
          <w:tcPr>
            <w:tcW w:w="724" w:type="dxa"/>
            <w:tcBorders>
              <w:top w:val="nil"/>
              <w:left w:val="single" w:sz="4" w:space="0" w:color="auto"/>
              <w:bottom w:val="nil"/>
              <w:right w:val="nil"/>
            </w:tcBorders>
            <w:shd w:val="clear" w:color="auto" w:fill="auto"/>
            <w:noWrap/>
            <w:vAlign w:val="bottom"/>
            <w:hideMark/>
          </w:tcPr>
          <w:p w14:paraId="4E3BFB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86</w:t>
            </w:r>
          </w:p>
        </w:tc>
        <w:tc>
          <w:tcPr>
            <w:tcW w:w="724" w:type="dxa"/>
            <w:tcBorders>
              <w:top w:val="nil"/>
              <w:left w:val="nil"/>
              <w:bottom w:val="nil"/>
              <w:right w:val="nil"/>
            </w:tcBorders>
            <w:shd w:val="clear" w:color="auto" w:fill="auto"/>
            <w:noWrap/>
            <w:vAlign w:val="bottom"/>
            <w:hideMark/>
          </w:tcPr>
          <w:p w14:paraId="6E31A7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67</w:t>
            </w:r>
          </w:p>
        </w:tc>
        <w:tc>
          <w:tcPr>
            <w:tcW w:w="723" w:type="dxa"/>
            <w:tcBorders>
              <w:top w:val="nil"/>
              <w:left w:val="nil"/>
              <w:bottom w:val="nil"/>
              <w:right w:val="nil"/>
            </w:tcBorders>
            <w:shd w:val="clear" w:color="auto" w:fill="auto"/>
            <w:noWrap/>
            <w:vAlign w:val="bottom"/>
            <w:hideMark/>
          </w:tcPr>
          <w:p w14:paraId="01F3F36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723" w:type="dxa"/>
            <w:tcBorders>
              <w:top w:val="nil"/>
              <w:left w:val="nil"/>
              <w:bottom w:val="nil"/>
              <w:right w:val="nil"/>
            </w:tcBorders>
            <w:shd w:val="clear" w:color="auto" w:fill="auto"/>
            <w:noWrap/>
            <w:vAlign w:val="bottom"/>
            <w:hideMark/>
          </w:tcPr>
          <w:p w14:paraId="06CD93D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29</w:t>
            </w:r>
          </w:p>
        </w:tc>
        <w:tc>
          <w:tcPr>
            <w:tcW w:w="723" w:type="dxa"/>
            <w:tcBorders>
              <w:top w:val="nil"/>
              <w:left w:val="nil"/>
              <w:bottom w:val="nil"/>
              <w:right w:val="nil"/>
            </w:tcBorders>
            <w:shd w:val="clear" w:color="auto" w:fill="auto"/>
            <w:noWrap/>
            <w:vAlign w:val="bottom"/>
            <w:hideMark/>
          </w:tcPr>
          <w:p w14:paraId="17ADFF7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w:t>
            </w:r>
          </w:p>
        </w:tc>
        <w:tc>
          <w:tcPr>
            <w:tcW w:w="723" w:type="dxa"/>
            <w:tcBorders>
              <w:top w:val="nil"/>
              <w:left w:val="nil"/>
              <w:bottom w:val="nil"/>
              <w:right w:val="single" w:sz="4" w:space="0" w:color="auto"/>
            </w:tcBorders>
            <w:shd w:val="clear" w:color="auto" w:fill="auto"/>
            <w:noWrap/>
            <w:vAlign w:val="bottom"/>
            <w:hideMark/>
          </w:tcPr>
          <w:p w14:paraId="092D7C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680" w:type="dxa"/>
            <w:tcBorders>
              <w:top w:val="nil"/>
              <w:left w:val="nil"/>
              <w:bottom w:val="nil"/>
              <w:right w:val="nil"/>
            </w:tcBorders>
            <w:shd w:val="clear" w:color="auto" w:fill="auto"/>
            <w:noWrap/>
            <w:vAlign w:val="bottom"/>
            <w:hideMark/>
          </w:tcPr>
          <w:p w14:paraId="310BC2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279</w:t>
            </w:r>
          </w:p>
        </w:tc>
        <w:tc>
          <w:tcPr>
            <w:tcW w:w="1340" w:type="dxa"/>
            <w:tcBorders>
              <w:top w:val="nil"/>
              <w:left w:val="nil"/>
              <w:bottom w:val="nil"/>
              <w:right w:val="nil"/>
            </w:tcBorders>
            <w:shd w:val="clear" w:color="auto" w:fill="auto"/>
            <w:noWrap/>
            <w:vAlign w:val="bottom"/>
            <w:hideMark/>
          </w:tcPr>
          <w:p w14:paraId="2B428F7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601</w:t>
            </w:r>
          </w:p>
        </w:tc>
      </w:tr>
      <w:tr w:rsidR="00044023" w:rsidRPr="00044023" w14:paraId="36EBD519" w14:textId="77777777" w:rsidTr="00044023">
        <w:trPr>
          <w:trHeight w:val="73"/>
        </w:trPr>
        <w:tc>
          <w:tcPr>
            <w:tcW w:w="960" w:type="dxa"/>
            <w:tcBorders>
              <w:top w:val="nil"/>
              <w:left w:val="nil"/>
              <w:bottom w:val="nil"/>
              <w:right w:val="nil"/>
            </w:tcBorders>
            <w:shd w:val="clear" w:color="auto" w:fill="auto"/>
            <w:noWrap/>
            <w:vAlign w:val="bottom"/>
            <w:hideMark/>
          </w:tcPr>
          <w:p w14:paraId="5BC17B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1974</w:t>
            </w:r>
          </w:p>
        </w:tc>
        <w:tc>
          <w:tcPr>
            <w:tcW w:w="724" w:type="dxa"/>
            <w:tcBorders>
              <w:top w:val="nil"/>
              <w:left w:val="single" w:sz="4" w:space="0" w:color="auto"/>
              <w:bottom w:val="nil"/>
              <w:right w:val="nil"/>
            </w:tcBorders>
            <w:shd w:val="clear" w:color="auto" w:fill="auto"/>
            <w:noWrap/>
            <w:vAlign w:val="bottom"/>
            <w:hideMark/>
          </w:tcPr>
          <w:p w14:paraId="28AB5BF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73</w:t>
            </w:r>
          </w:p>
        </w:tc>
        <w:tc>
          <w:tcPr>
            <w:tcW w:w="724" w:type="dxa"/>
            <w:tcBorders>
              <w:top w:val="nil"/>
              <w:left w:val="nil"/>
              <w:bottom w:val="nil"/>
              <w:right w:val="nil"/>
            </w:tcBorders>
            <w:shd w:val="clear" w:color="auto" w:fill="auto"/>
            <w:noWrap/>
            <w:vAlign w:val="bottom"/>
            <w:hideMark/>
          </w:tcPr>
          <w:p w14:paraId="50F3E3F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58</w:t>
            </w:r>
          </w:p>
        </w:tc>
        <w:tc>
          <w:tcPr>
            <w:tcW w:w="723" w:type="dxa"/>
            <w:tcBorders>
              <w:top w:val="nil"/>
              <w:left w:val="nil"/>
              <w:bottom w:val="nil"/>
              <w:right w:val="nil"/>
            </w:tcBorders>
            <w:shd w:val="clear" w:color="auto" w:fill="auto"/>
            <w:noWrap/>
            <w:vAlign w:val="bottom"/>
            <w:hideMark/>
          </w:tcPr>
          <w:p w14:paraId="377CDD9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723" w:type="dxa"/>
            <w:tcBorders>
              <w:top w:val="nil"/>
              <w:left w:val="nil"/>
              <w:bottom w:val="nil"/>
              <w:right w:val="nil"/>
            </w:tcBorders>
            <w:shd w:val="clear" w:color="auto" w:fill="auto"/>
            <w:noWrap/>
            <w:vAlign w:val="bottom"/>
            <w:hideMark/>
          </w:tcPr>
          <w:p w14:paraId="4C4D84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723" w:type="dxa"/>
            <w:tcBorders>
              <w:top w:val="nil"/>
              <w:left w:val="nil"/>
              <w:bottom w:val="nil"/>
              <w:right w:val="nil"/>
            </w:tcBorders>
            <w:shd w:val="clear" w:color="auto" w:fill="auto"/>
            <w:noWrap/>
            <w:vAlign w:val="bottom"/>
            <w:hideMark/>
          </w:tcPr>
          <w:p w14:paraId="54D0E3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3" w:type="dxa"/>
            <w:tcBorders>
              <w:top w:val="nil"/>
              <w:left w:val="nil"/>
              <w:bottom w:val="nil"/>
              <w:right w:val="single" w:sz="4" w:space="0" w:color="auto"/>
            </w:tcBorders>
            <w:shd w:val="clear" w:color="auto" w:fill="auto"/>
            <w:noWrap/>
            <w:vAlign w:val="bottom"/>
            <w:hideMark/>
          </w:tcPr>
          <w:p w14:paraId="6CA6707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680" w:type="dxa"/>
            <w:tcBorders>
              <w:top w:val="nil"/>
              <w:left w:val="nil"/>
              <w:bottom w:val="nil"/>
              <w:right w:val="nil"/>
            </w:tcBorders>
            <w:shd w:val="clear" w:color="auto" w:fill="auto"/>
            <w:noWrap/>
            <w:vAlign w:val="bottom"/>
            <w:hideMark/>
          </w:tcPr>
          <w:p w14:paraId="483521E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243</w:t>
            </w:r>
          </w:p>
        </w:tc>
        <w:tc>
          <w:tcPr>
            <w:tcW w:w="1340" w:type="dxa"/>
            <w:tcBorders>
              <w:top w:val="nil"/>
              <w:left w:val="nil"/>
              <w:bottom w:val="nil"/>
              <w:right w:val="nil"/>
            </w:tcBorders>
            <w:shd w:val="clear" w:color="auto" w:fill="auto"/>
            <w:noWrap/>
            <w:vAlign w:val="bottom"/>
            <w:hideMark/>
          </w:tcPr>
          <w:p w14:paraId="396370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844</w:t>
            </w:r>
          </w:p>
        </w:tc>
      </w:tr>
      <w:tr w:rsidR="00044023" w:rsidRPr="00044023" w14:paraId="3C8188AE" w14:textId="77777777" w:rsidTr="00044023">
        <w:trPr>
          <w:trHeight w:val="68"/>
        </w:trPr>
        <w:tc>
          <w:tcPr>
            <w:tcW w:w="960" w:type="dxa"/>
            <w:tcBorders>
              <w:top w:val="nil"/>
              <w:left w:val="nil"/>
              <w:bottom w:val="nil"/>
              <w:right w:val="nil"/>
            </w:tcBorders>
            <w:shd w:val="clear" w:color="auto" w:fill="auto"/>
            <w:noWrap/>
            <w:vAlign w:val="bottom"/>
            <w:hideMark/>
          </w:tcPr>
          <w:p w14:paraId="105AEB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1975</w:t>
            </w:r>
          </w:p>
        </w:tc>
        <w:tc>
          <w:tcPr>
            <w:tcW w:w="724" w:type="dxa"/>
            <w:tcBorders>
              <w:top w:val="nil"/>
              <w:left w:val="single" w:sz="4" w:space="0" w:color="auto"/>
              <w:bottom w:val="nil"/>
              <w:right w:val="nil"/>
            </w:tcBorders>
            <w:shd w:val="clear" w:color="auto" w:fill="auto"/>
            <w:noWrap/>
            <w:vAlign w:val="bottom"/>
            <w:hideMark/>
          </w:tcPr>
          <w:p w14:paraId="0B04FD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64</w:t>
            </w:r>
          </w:p>
        </w:tc>
        <w:tc>
          <w:tcPr>
            <w:tcW w:w="724" w:type="dxa"/>
            <w:tcBorders>
              <w:top w:val="nil"/>
              <w:left w:val="nil"/>
              <w:bottom w:val="nil"/>
              <w:right w:val="nil"/>
            </w:tcBorders>
            <w:shd w:val="clear" w:color="auto" w:fill="auto"/>
            <w:noWrap/>
            <w:vAlign w:val="bottom"/>
            <w:hideMark/>
          </w:tcPr>
          <w:p w14:paraId="597DC46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50</w:t>
            </w:r>
          </w:p>
        </w:tc>
        <w:tc>
          <w:tcPr>
            <w:tcW w:w="723" w:type="dxa"/>
            <w:tcBorders>
              <w:top w:val="nil"/>
              <w:left w:val="nil"/>
              <w:bottom w:val="nil"/>
              <w:right w:val="nil"/>
            </w:tcBorders>
            <w:shd w:val="clear" w:color="auto" w:fill="auto"/>
            <w:noWrap/>
            <w:vAlign w:val="bottom"/>
            <w:hideMark/>
          </w:tcPr>
          <w:p w14:paraId="48E3B5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723" w:type="dxa"/>
            <w:tcBorders>
              <w:top w:val="nil"/>
              <w:left w:val="nil"/>
              <w:bottom w:val="nil"/>
              <w:right w:val="nil"/>
            </w:tcBorders>
            <w:shd w:val="clear" w:color="auto" w:fill="auto"/>
            <w:noWrap/>
            <w:vAlign w:val="bottom"/>
            <w:hideMark/>
          </w:tcPr>
          <w:p w14:paraId="62C516C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723" w:type="dxa"/>
            <w:tcBorders>
              <w:top w:val="nil"/>
              <w:left w:val="nil"/>
              <w:bottom w:val="nil"/>
              <w:right w:val="nil"/>
            </w:tcBorders>
            <w:shd w:val="clear" w:color="auto" w:fill="auto"/>
            <w:noWrap/>
            <w:vAlign w:val="bottom"/>
            <w:hideMark/>
          </w:tcPr>
          <w:p w14:paraId="3E07F0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single" w:sz="4" w:space="0" w:color="auto"/>
            </w:tcBorders>
            <w:shd w:val="clear" w:color="auto" w:fill="auto"/>
            <w:noWrap/>
            <w:vAlign w:val="bottom"/>
            <w:hideMark/>
          </w:tcPr>
          <w:p w14:paraId="51A7925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680" w:type="dxa"/>
            <w:tcBorders>
              <w:top w:val="nil"/>
              <w:left w:val="nil"/>
              <w:bottom w:val="nil"/>
              <w:right w:val="nil"/>
            </w:tcBorders>
            <w:shd w:val="clear" w:color="auto" w:fill="auto"/>
            <w:noWrap/>
            <w:vAlign w:val="bottom"/>
            <w:hideMark/>
          </w:tcPr>
          <w:p w14:paraId="24A576A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212</w:t>
            </w:r>
          </w:p>
        </w:tc>
        <w:tc>
          <w:tcPr>
            <w:tcW w:w="1340" w:type="dxa"/>
            <w:tcBorders>
              <w:top w:val="nil"/>
              <w:left w:val="nil"/>
              <w:bottom w:val="nil"/>
              <w:right w:val="nil"/>
            </w:tcBorders>
            <w:shd w:val="clear" w:color="auto" w:fill="auto"/>
            <w:noWrap/>
            <w:vAlign w:val="bottom"/>
            <w:hideMark/>
          </w:tcPr>
          <w:p w14:paraId="7AC6ED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1056</w:t>
            </w:r>
          </w:p>
        </w:tc>
      </w:tr>
      <w:tr w:rsidR="00044023" w:rsidRPr="00044023" w14:paraId="0ED7732A" w14:textId="77777777" w:rsidTr="00044023">
        <w:trPr>
          <w:trHeight w:val="68"/>
        </w:trPr>
        <w:tc>
          <w:tcPr>
            <w:tcW w:w="960" w:type="dxa"/>
            <w:tcBorders>
              <w:top w:val="nil"/>
              <w:left w:val="nil"/>
              <w:bottom w:val="nil"/>
              <w:right w:val="nil"/>
            </w:tcBorders>
            <w:shd w:val="clear" w:color="auto" w:fill="auto"/>
            <w:noWrap/>
            <w:vAlign w:val="bottom"/>
            <w:hideMark/>
          </w:tcPr>
          <w:p w14:paraId="50655D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1976</w:t>
            </w:r>
          </w:p>
        </w:tc>
        <w:tc>
          <w:tcPr>
            <w:tcW w:w="724" w:type="dxa"/>
            <w:tcBorders>
              <w:top w:val="nil"/>
              <w:left w:val="single" w:sz="4" w:space="0" w:color="auto"/>
              <w:bottom w:val="nil"/>
              <w:right w:val="nil"/>
            </w:tcBorders>
            <w:shd w:val="clear" w:color="auto" w:fill="auto"/>
            <w:noWrap/>
            <w:vAlign w:val="bottom"/>
            <w:hideMark/>
          </w:tcPr>
          <w:p w14:paraId="5BBE96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56</w:t>
            </w:r>
          </w:p>
        </w:tc>
        <w:tc>
          <w:tcPr>
            <w:tcW w:w="724" w:type="dxa"/>
            <w:tcBorders>
              <w:top w:val="nil"/>
              <w:left w:val="nil"/>
              <w:bottom w:val="nil"/>
              <w:right w:val="nil"/>
            </w:tcBorders>
            <w:shd w:val="clear" w:color="auto" w:fill="auto"/>
            <w:noWrap/>
            <w:vAlign w:val="bottom"/>
            <w:hideMark/>
          </w:tcPr>
          <w:p w14:paraId="39B040D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723" w:type="dxa"/>
            <w:tcBorders>
              <w:top w:val="nil"/>
              <w:left w:val="nil"/>
              <w:bottom w:val="nil"/>
              <w:right w:val="nil"/>
            </w:tcBorders>
            <w:shd w:val="clear" w:color="auto" w:fill="auto"/>
            <w:noWrap/>
            <w:vAlign w:val="bottom"/>
            <w:hideMark/>
          </w:tcPr>
          <w:p w14:paraId="39B423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723" w:type="dxa"/>
            <w:tcBorders>
              <w:top w:val="nil"/>
              <w:left w:val="nil"/>
              <w:bottom w:val="nil"/>
              <w:right w:val="nil"/>
            </w:tcBorders>
            <w:shd w:val="clear" w:color="auto" w:fill="auto"/>
            <w:noWrap/>
            <w:vAlign w:val="bottom"/>
            <w:hideMark/>
          </w:tcPr>
          <w:p w14:paraId="4EC532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w:t>
            </w:r>
          </w:p>
        </w:tc>
        <w:tc>
          <w:tcPr>
            <w:tcW w:w="723" w:type="dxa"/>
            <w:tcBorders>
              <w:top w:val="nil"/>
              <w:left w:val="nil"/>
              <w:bottom w:val="nil"/>
              <w:right w:val="nil"/>
            </w:tcBorders>
            <w:shd w:val="clear" w:color="auto" w:fill="auto"/>
            <w:noWrap/>
            <w:vAlign w:val="bottom"/>
            <w:hideMark/>
          </w:tcPr>
          <w:p w14:paraId="7E34838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single" w:sz="4" w:space="0" w:color="auto"/>
            </w:tcBorders>
            <w:shd w:val="clear" w:color="auto" w:fill="auto"/>
            <w:noWrap/>
            <w:vAlign w:val="bottom"/>
            <w:hideMark/>
          </w:tcPr>
          <w:p w14:paraId="3FA7F7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680" w:type="dxa"/>
            <w:tcBorders>
              <w:top w:val="nil"/>
              <w:left w:val="nil"/>
              <w:bottom w:val="nil"/>
              <w:right w:val="nil"/>
            </w:tcBorders>
            <w:shd w:val="clear" w:color="auto" w:fill="auto"/>
            <w:noWrap/>
            <w:vAlign w:val="bottom"/>
            <w:hideMark/>
          </w:tcPr>
          <w:p w14:paraId="29DAD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186</w:t>
            </w:r>
          </w:p>
        </w:tc>
        <w:tc>
          <w:tcPr>
            <w:tcW w:w="1340" w:type="dxa"/>
            <w:tcBorders>
              <w:top w:val="nil"/>
              <w:left w:val="nil"/>
              <w:bottom w:val="nil"/>
              <w:right w:val="nil"/>
            </w:tcBorders>
            <w:shd w:val="clear" w:color="auto" w:fill="auto"/>
            <w:noWrap/>
            <w:vAlign w:val="bottom"/>
            <w:hideMark/>
          </w:tcPr>
          <w:p w14:paraId="4AB4A2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1242</w:t>
            </w:r>
          </w:p>
        </w:tc>
      </w:tr>
      <w:tr w:rsidR="00044023" w:rsidRPr="00044023" w14:paraId="5FDB6802" w14:textId="77777777" w:rsidTr="00044023">
        <w:trPr>
          <w:trHeight w:val="68"/>
        </w:trPr>
        <w:tc>
          <w:tcPr>
            <w:tcW w:w="960" w:type="dxa"/>
            <w:tcBorders>
              <w:top w:val="nil"/>
              <w:left w:val="nil"/>
              <w:bottom w:val="nil"/>
              <w:right w:val="nil"/>
            </w:tcBorders>
            <w:shd w:val="clear" w:color="auto" w:fill="auto"/>
            <w:noWrap/>
            <w:vAlign w:val="bottom"/>
            <w:hideMark/>
          </w:tcPr>
          <w:p w14:paraId="7A69C5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1977</w:t>
            </w:r>
          </w:p>
        </w:tc>
        <w:tc>
          <w:tcPr>
            <w:tcW w:w="724" w:type="dxa"/>
            <w:tcBorders>
              <w:top w:val="nil"/>
              <w:left w:val="single" w:sz="4" w:space="0" w:color="auto"/>
              <w:bottom w:val="nil"/>
              <w:right w:val="nil"/>
            </w:tcBorders>
            <w:shd w:val="clear" w:color="auto" w:fill="auto"/>
            <w:noWrap/>
            <w:vAlign w:val="bottom"/>
            <w:hideMark/>
          </w:tcPr>
          <w:p w14:paraId="46B9B0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49</w:t>
            </w:r>
          </w:p>
        </w:tc>
        <w:tc>
          <w:tcPr>
            <w:tcW w:w="724" w:type="dxa"/>
            <w:tcBorders>
              <w:top w:val="nil"/>
              <w:left w:val="nil"/>
              <w:bottom w:val="nil"/>
              <w:right w:val="nil"/>
            </w:tcBorders>
            <w:shd w:val="clear" w:color="auto" w:fill="auto"/>
            <w:noWrap/>
            <w:vAlign w:val="bottom"/>
            <w:hideMark/>
          </w:tcPr>
          <w:p w14:paraId="5CA6E08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38</w:t>
            </w:r>
          </w:p>
        </w:tc>
        <w:tc>
          <w:tcPr>
            <w:tcW w:w="723" w:type="dxa"/>
            <w:tcBorders>
              <w:top w:val="nil"/>
              <w:left w:val="nil"/>
              <w:bottom w:val="nil"/>
              <w:right w:val="nil"/>
            </w:tcBorders>
            <w:shd w:val="clear" w:color="auto" w:fill="auto"/>
            <w:noWrap/>
            <w:vAlign w:val="bottom"/>
            <w:hideMark/>
          </w:tcPr>
          <w:p w14:paraId="090106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723" w:type="dxa"/>
            <w:tcBorders>
              <w:top w:val="nil"/>
              <w:left w:val="nil"/>
              <w:bottom w:val="nil"/>
              <w:right w:val="nil"/>
            </w:tcBorders>
            <w:shd w:val="clear" w:color="auto" w:fill="auto"/>
            <w:noWrap/>
            <w:vAlign w:val="bottom"/>
            <w:hideMark/>
          </w:tcPr>
          <w:p w14:paraId="075C38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w:t>
            </w:r>
          </w:p>
        </w:tc>
        <w:tc>
          <w:tcPr>
            <w:tcW w:w="723" w:type="dxa"/>
            <w:tcBorders>
              <w:top w:val="nil"/>
              <w:left w:val="nil"/>
              <w:bottom w:val="nil"/>
              <w:right w:val="nil"/>
            </w:tcBorders>
            <w:shd w:val="clear" w:color="auto" w:fill="auto"/>
            <w:noWrap/>
            <w:vAlign w:val="bottom"/>
            <w:hideMark/>
          </w:tcPr>
          <w:p w14:paraId="77FA0A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single" w:sz="4" w:space="0" w:color="auto"/>
            </w:tcBorders>
            <w:shd w:val="clear" w:color="auto" w:fill="auto"/>
            <w:noWrap/>
            <w:vAlign w:val="bottom"/>
            <w:hideMark/>
          </w:tcPr>
          <w:p w14:paraId="4E622D9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680" w:type="dxa"/>
            <w:tcBorders>
              <w:top w:val="nil"/>
              <w:left w:val="nil"/>
              <w:bottom w:val="nil"/>
              <w:right w:val="nil"/>
            </w:tcBorders>
            <w:shd w:val="clear" w:color="auto" w:fill="auto"/>
            <w:noWrap/>
            <w:vAlign w:val="bottom"/>
            <w:hideMark/>
          </w:tcPr>
          <w:p w14:paraId="277B98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164</w:t>
            </w:r>
          </w:p>
        </w:tc>
        <w:tc>
          <w:tcPr>
            <w:tcW w:w="1340" w:type="dxa"/>
            <w:tcBorders>
              <w:top w:val="nil"/>
              <w:left w:val="nil"/>
              <w:bottom w:val="nil"/>
              <w:right w:val="nil"/>
            </w:tcBorders>
            <w:shd w:val="clear" w:color="auto" w:fill="auto"/>
            <w:noWrap/>
            <w:vAlign w:val="bottom"/>
            <w:hideMark/>
          </w:tcPr>
          <w:p w14:paraId="4B964B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1407</w:t>
            </w:r>
          </w:p>
        </w:tc>
      </w:tr>
      <w:tr w:rsidR="00044023" w:rsidRPr="00044023" w14:paraId="740F0686" w14:textId="77777777" w:rsidTr="00044023">
        <w:trPr>
          <w:trHeight w:val="68"/>
        </w:trPr>
        <w:tc>
          <w:tcPr>
            <w:tcW w:w="960" w:type="dxa"/>
            <w:tcBorders>
              <w:top w:val="nil"/>
              <w:left w:val="nil"/>
              <w:bottom w:val="nil"/>
              <w:right w:val="nil"/>
            </w:tcBorders>
            <w:shd w:val="clear" w:color="auto" w:fill="auto"/>
            <w:noWrap/>
            <w:vAlign w:val="bottom"/>
            <w:hideMark/>
          </w:tcPr>
          <w:p w14:paraId="7F31ED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1978</w:t>
            </w:r>
          </w:p>
        </w:tc>
        <w:tc>
          <w:tcPr>
            <w:tcW w:w="724" w:type="dxa"/>
            <w:tcBorders>
              <w:top w:val="nil"/>
              <w:left w:val="single" w:sz="4" w:space="0" w:color="auto"/>
              <w:bottom w:val="nil"/>
              <w:right w:val="nil"/>
            </w:tcBorders>
            <w:shd w:val="clear" w:color="auto" w:fill="auto"/>
            <w:noWrap/>
            <w:vAlign w:val="bottom"/>
            <w:hideMark/>
          </w:tcPr>
          <w:p w14:paraId="3980238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44</w:t>
            </w:r>
          </w:p>
        </w:tc>
        <w:tc>
          <w:tcPr>
            <w:tcW w:w="724" w:type="dxa"/>
            <w:tcBorders>
              <w:top w:val="nil"/>
              <w:left w:val="nil"/>
              <w:bottom w:val="nil"/>
              <w:right w:val="nil"/>
            </w:tcBorders>
            <w:shd w:val="clear" w:color="auto" w:fill="auto"/>
            <w:noWrap/>
            <w:vAlign w:val="bottom"/>
            <w:hideMark/>
          </w:tcPr>
          <w:p w14:paraId="03DF30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723" w:type="dxa"/>
            <w:tcBorders>
              <w:top w:val="nil"/>
              <w:left w:val="nil"/>
              <w:bottom w:val="nil"/>
              <w:right w:val="nil"/>
            </w:tcBorders>
            <w:shd w:val="clear" w:color="auto" w:fill="auto"/>
            <w:noWrap/>
            <w:vAlign w:val="bottom"/>
            <w:hideMark/>
          </w:tcPr>
          <w:p w14:paraId="245F3A7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3" w:type="dxa"/>
            <w:tcBorders>
              <w:top w:val="nil"/>
              <w:left w:val="nil"/>
              <w:bottom w:val="nil"/>
              <w:right w:val="nil"/>
            </w:tcBorders>
            <w:shd w:val="clear" w:color="auto" w:fill="auto"/>
            <w:noWrap/>
            <w:vAlign w:val="bottom"/>
            <w:hideMark/>
          </w:tcPr>
          <w:p w14:paraId="745341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3" w:type="dxa"/>
            <w:tcBorders>
              <w:top w:val="nil"/>
              <w:left w:val="nil"/>
              <w:bottom w:val="nil"/>
              <w:right w:val="nil"/>
            </w:tcBorders>
            <w:shd w:val="clear" w:color="auto" w:fill="auto"/>
            <w:noWrap/>
            <w:vAlign w:val="bottom"/>
            <w:hideMark/>
          </w:tcPr>
          <w:p w14:paraId="390A43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single" w:sz="4" w:space="0" w:color="auto"/>
            </w:tcBorders>
            <w:shd w:val="clear" w:color="auto" w:fill="auto"/>
            <w:noWrap/>
            <w:vAlign w:val="bottom"/>
            <w:hideMark/>
          </w:tcPr>
          <w:p w14:paraId="59C43A8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680" w:type="dxa"/>
            <w:tcBorders>
              <w:top w:val="nil"/>
              <w:left w:val="nil"/>
              <w:bottom w:val="nil"/>
              <w:right w:val="nil"/>
            </w:tcBorders>
            <w:shd w:val="clear" w:color="auto" w:fill="auto"/>
            <w:noWrap/>
            <w:vAlign w:val="bottom"/>
            <w:hideMark/>
          </w:tcPr>
          <w:p w14:paraId="58066C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146</w:t>
            </w:r>
          </w:p>
        </w:tc>
        <w:tc>
          <w:tcPr>
            <w:tcW w:w="1340" w:type="dxa"/>
            <w:tcBorders>
              <w:top w:val="nil"/>
              <w:left w:val="nil"/>
              <w:bottom w:val="nil"/>
              <w:right w:val="nil"/>
            </w:tcBorders>
            <w:shd w:val="clear" w:color="auto" w:fill="auto"/>
            <w:noWrap/>
            <w:vAlign w:val="bottom"/>
            <w:hideMark/>
          </w:tcPr>
          <w:p w14:paraId="0982A56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1552</w:t>
            </w:r>
          </w:p>
        </w:tc>
      </w:tr>
      <w:tr w:rsidR="00044023" w:rsidRPr="00044023" w14:paraId="34F53E67" w14:textId="77777777" w:rsidTr="00044023">
        <w:trPr>
          <w:trHeight w:val="68"/>
        </w:trPr>
        <w:tc>
          <w:tcPr>
            <w:tcW w:w="960" w:type="dxa"/>
            <w:tcBorders>
              <w:top w:val="nil"/>
              <w:left w:val="nil"/>
              <w:bottom w:val="nil"/>
              <w:right w:val="nil"/>
            </w:tcBorders>
            <w:shd w:val="clear" w:color="auto" w:fill="auto"/>
            <w:noWrap/>
            <w:vAlign w:val="bottom"/>
            <w:hideMark/>
          </w:tcPr>
          <w:p w14:paraId="7F7A3A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1979</w:t>
            </w:r>
          </w:p>
        </w:tc>
        <w:tc>
          <w:tcPr>
            <w:tcW w:w="724" w:type="dxa"/>
            <w:tcBorders>
              <w:top w:val="nil"/>
              <w:left w:val="single" w:sz="4" w:space="0" w:color="auto"/>
              <w:bottom w:val="nil"/>
              <w:right w:val="nil"/>
            </w:tcBorders>
            <w:shd w:val="clear" w:color="auto" w:fill="auto"/>
            <w:noWrap/>
            <w:vAlign w:val="bottom"/>
            <w:hideMark/>
          </w:tcPr>
          <w:p w14:paraId="0F2E37D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724" w:type="dxa"/>
            <w:tcBorders>
              <w:top w:val="nil"/>
              <w:left w:val="nil"/>
              <w:bottom w:val="nil"/>
              <w:right w:val="nil"/>
            </w:tcBorders>
            <w:shd w:val="clear" w:color="auto" w:fill="auto"/>
            <w:noWrap/>
            <w:vAlign w:val="bottom"/>
            <w:hideMark/>
          </w:tcPr>
          <w:p w14:paraId="7B201E1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723" w:type="dxa"/>
            <w:tcBorders>
              <w:top w:val="nil"/>
              <w:left w:val="nil"/>
              <w:bottom w:val="nil"/>
              <w:right w:val="nil"/>
            </w:tcBorders>
            <w:shd w:val="clear" w:color="auto" w:fill="auto"/>
            <w:noWrap/>
            <w:vAlign w:val="bottom"/>
            <w:hideMark/>
          </w:tcPr>
          <w:p w14:paraId="1A2E8D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723" w:type="dxa"/>
            <w:tcBorders>
              <w:top w:val="nil"/>
              <w:left w:val="nil"/>
              <w:bottom w:val="nil"/>
              <w:right w:val="nil"/>
            </w:tcBorders>
            <w:shd w:val="clear" w:color="auto" w:fill="auto"/>
            <w:noWrap/>
            <w:vAlign w:val="bottom"/>
            <w:hideMark/>
          </w:tcPr>
          <w:p w14:paraId="0705B59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nil"/>
            </w:tcBorders>
            <w:shd w:val="clear" w:color="auto" w:fill="auto"/>
            <w:noWrap/>
            <w:vAlign w:val="bottom"/>
            <w:hideMark/>
          </w:tcPr>
          <w:p w14:paraId="011485A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single" w:sz="4" w:space="0" w:color="auto"/>
            </w:tcBorders>
            <w:shd w:val="clear" w:color="auto" w:fill="auto"/>
            <w:noWrap/>
            <w:vAlign w:val="bottom"/>
            <w:hideMark/>
          </w:tcPr>
          <w:p w14:paraId="0B580DB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680" w:type="dxa"/>
            <w:tcBorders>
              <w:top w:val="nil"/>
              <w:left w:val="nil"/>
              <w:bottom w:val="nil"/>
              <w:right w:val="nil"/>
            </w:tcBorders>
            <w:shd w:val="clear" w:color="auto" w:fill="auto"/>
            <w:noWrap/>
            <w:vAlign w:val="bottom"/>
            <w:hideMark/>
          </w:tcPr>
          <w:p w14:paraId="4C1217B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130</w:t>
            </w:r>
          </w:p>
        </w:tc>
        <w:tc>
          <w:tcPr>
            <w:tcW w:w="1340" w:type="dxa"/>
            <w:tcBorders>
              <w:top w:val="nil"/>
              <w:left w:val="nil"/>
              <w:bottom w:val="nil"/>
              <w:right w:val="nil"/>
            </w:tcBorders>
            <w:shd w:val="clear" w:color="auto" w:fill="auto"/>
            <w:noWrap/>
            <w:vAlign w:val="bottom"/>
            <w:hideMark/>
          </w:tcPr>
          <w:p w14:paraId="6D24B9B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1682</w:t>
            </w:r>
          </w:p>
        </w:tc>
      </w:tr>
      <w:tr w:rsidR="00044023" w:rsidRPr="00044023" w14:paraId="405044D5" w14:textId="77777777" w:rsidTr="00044023">
        <w:trPr>
          <w:trHeight w:val="68"/>
        </w:trPr>
        <w:tc>
          <w:tcPr>
            <w:tcW w:w="960" w:type="dxa"/>
            <w:tcBorders>
              <w:top w:val="nil"/>
              <w:left w:val="nil"/>
              <w:bottom w:val="nil"/>
              <w:right w:val="nil"/>
            </w:tcBorders>
            <w:shd w:val="clear" w:color="auto" w:fill="auto"/>
            <w:noWrap/>
            <w:vAlign w:val="bottom"/>
            <w:hideMark/>
          </w:tcPr>
          <w:p w14:paraId="3F67D3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1980</w:t>
            </w:r>
          </w:p>
        </w:tc>
        <w:tc>
          <w:tcPr>
            <w:tcW w:w="724" w:type="dxa"/>
            <w:tcBorders>
              <w:top w:val="nil"/>
              <w:left w:val="single" w:sz="4" w:space="0" w:color="auto"/>
              <w:bottom w:val="nil"/>
              <w:right w:val="nil"/>
            </w:tcBorders>
            <w:shd w:val="clear" w:color="auto" w:fill="auto"/>
            <w:noWrap/>
            <w:vAlign w:val="bottom"/>
            <w:hideMark/>
          </w:tcPr>
          <w:p w14:paraId="0D3360E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w:t>
            </w:r>
          </w:p>
        </w:tc>
        <w:tc>
          <w:tcPr>
            <w:tcW w:w="724" w:type="dxa"/>
            <w:tcBorders>
              <w:top w:val="nil"/>
              <w:left w:val="nil"/>
              <w:bottom w:val="nil"/>
              <w:right w:val="nil"/>
            </w:tcBorders>
            <w:shd w:val="clear" w:color="auto" w:fill="auto"/>
            <w:noWrap/>
            <w:vAlign w:val="bottom"/>
            <w:hideMark/>
          </w:tcPr>
          <w:p w14:paraId="0718D32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w:t>
            </w:r>
          </w:p>
        </w:tc>
        <w:tc>
          <w:tcPr>
            <w:tcW w:w="723" w:type="dxa"/>
            <w:tcBorders>
              <w:top w:val="nil"/>
              <w:left w:val="nil"/>
              <w:bottom w:val="nil"/>
              <w:right w:val="nil"/>
            </w:tcBorders>
            <w:shd w:val="clear" w:color="auto" w:fill="auto"/>
            <w:noWrap/>
            <w:vAlign w:val="bottom"/>
            <w:hideMark/>
          </w:tcPr>
          <w:p w14:paraId="5E68A4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723" w:type="dxa"/>
            <w:tcBorders>
              <w:top w:val="nil"/>
              <w:left w:val="nil"/>
              <w:bottom w:val="nil"/>
              <w:right w:val="nil"/>
            </w:tcBorders>
            <w:shd w:val="clear" w:color="auto" w:fill="auto"/>
            <w:noWrap/>
            <w:vAlign w:val="bottom"/>
            <w:hideMark/>
          </w:tcPr>
          <w:p w14:paraId="6F6A8BB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nil"/>
            </w:tcBorders>
            <w:shd w:val="clear" w:color="auto" w:fill="auto"/>
            <w:noWrap/>
            <w:vAlign w:val="bottom"/>
            <w:hideMark/>
          </w:tcPr>
          <w:p w14:paraId="657EFB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single" w:sz="4" w:space="0" w:color="auto"/>
            </w:tcBorders>
            <w:shd w:val="clear" w:color="auto" w:fill="auto"/>
            <w:noWrap/>
            <w:vAlign w:val="bottom"/>
            <w:hideMark/>
          </w:tcPr>
          <w:p w14:paraId="5382EF1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680" w:type="dxa"/>
            <w:tcBorders>
              <w:top w:val="nil"/>
              <w:left w:val="nil"/>
              <w:bottom w:val="nil"/>
              <w:right w:val="nil"/>
            </w:tcBorders>
            <w:shd w:val="clear" w:color="auto" w:fill="auto"/>
            <w:noWrap/>
            <w:vAlign w:val="bottom"/>
            <w:hideMark/>
          </w:tcPr>
          <w:p w14:paraId="611BD2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116</w:t>
            </w:r>
          </w:p>
        </w:tc>
        <w:tc>
          <w:tcPr>
            <w:tcW w:w="1340" w:type="dxa"/>
            <w:tcBorders>
              <w:top w:val="nil"/>
              <w:left w:val="nil"/>
              <w:bottom w:val="nil"/>
              <w:right w:val="nil"/>
            </w:tcBorders>
            <w:shd w:val="clear" w:color="auto" w:fill="auto"/>
            <w:noWrap/>
            <w:vAlign w:val="bottom"/>
            <w:hideMark/>
          </w:tcPr>
          <w:p w14:paraId="03787C9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1798</w:t>
            </w:r>
          </w:p>
        </w:tc>
      </w:tr>
      <w:tr w:rsidR="00044023" w:rsidRPr="00044023" w14:paraId="4BE6E372" w14:textId="77777777" w:rsidTr="00044023">
        <w:trPr>
          <w:trHeight w:val="68"/>
        </w:trPr>
        <w:tc>
          <w:tcPr>
            <w:tcW w:w="960" w:type="dxa"/>
            <w:tcBorders>
              <w:top w:val="nil"/>
              <w:left w:val="nil"/>
              <w:bottom w:val="nil"/>
              <w:right w:val="nil"/>
            </w:tcBorders>
            <w:shd w:val="clear" w:color="auto" w:fill="auto"/>
            <w:noWrap/>
            <w:vAlign w:val="bottom"/>
            <w:hideMark/>
          </w:tcPr>
          <w:p w14:paraId="626D7E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1981</w:t>
            </w:r>
          </w:p>
        </w:tc>
        <w:tc>
          <w:tcPr>
            <w:tcW w:w="724" w:type="dxa"/>
            <w:tcBorders>
              <w:top w:val="nil"/>
              <w:left w:val="single" w:sz="4" w:space="0" w:color="auto"/>
              <w:bottom w:val="nil"/>
              <w:right w:val="nil"/>
            </w:tcBorders>
            <w:shd w:val="clear" w:color="auto" w:fill="auto"/>
            <w:noWrap/>
            <w:vAlign w:val="bottom"/>
            <w:hideMark/>
          </w:tcPr>
          <w:p w14:paraId="1D8822B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w:t>
            </w:r>
          </w:p>
        </w:tc>
        <w:tc>
          <w:tcPr>
            <w:tcW w:w="724" w:type="dxa"/>
            <w:tcBorders>
              <w:top w:val="nil"/>
              <w:left w:val="nil"/>
              <w:bottom w:val="nil"/>
              <w:right w:val="nil"/>
            </w:tcBorders>
            <w:shd w:val="clear" w:color="auto" w:fill="auto"/>
            <w:noWrap/>
            <w:vAlign w:val="bottom"/>
            <w:hideMark/>
          </w:tcPr>
          <w:p w14:paraId="0AA98AD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w:t>
            </w:r>
          </w:p>
        </w:tc>
        <w:tc>
          <w:tcPr>
            <w:tcW w:w="723" w:type="dxa"/>
            <w:tcBorders>
              <w:top w:val="nil"/>
              <w:left w:val="nil"/>
              <w:bottom w:val="nil"/>
              <w:right w:val="nil"/>
            </w:tcBorders>
            <w:shd w:val="clear" w:color="auto" w:fill="auto"/>
            <w:noWrap/>
            <w:vAlign w:val="bottom"/>
            <w:hideMark/>
          </w:tcPr>
          <w:p w14:paraId="254066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723" w:type="dxa"/>
            <w:tcBorders>
              <w:top w:val="nil"/>
              <w:left w:val="nil"/>
              <w:bottom w:val="nil"/>
              <w:right w:val="nil"/>
            </w:tcBorders>
            <w:shd w:val="clear" w:color="auto" w:fill="auto"/>
            <w:noWrap/>
            <w:vAlign w:val="bottom"/>
            <w:hideMark/>
          </w:tcPr>
          <w:p w14:paraId="32AFA5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175B07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single" w:sz="4" w:space="0" w:color="auto"/>
            </w:tcBorders>
            <w:shd w:val="clear" w:color="auto" w:fill="auto"/>
            <w:noWrap/>
            <w:vAlign w:val="bottom"/>
            <w:hideMark/>
          </w:tcPr>
          <w:p w14:paraId="1A49689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680" w:type="dxa"/>
            <w:tcBorders>
              <w:top w:val="nil"/>
              <w:left w:val="nil"/>
              <w:bottom w:val="nil"/>
              <w:right w:val="nil"/>
            </w:tcBorders>
            <w:shd w:val="clear" w:color="auto" w:fill="auto"/>
            <w:noWrap/>
            <w:vAlign w:val="bottom"/>
            <w:hideMark/>
          </w:tcPr>
          <w:p w14:paraId="0D3EA2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104</w:t>
            </w:r>
          </w:p>
        </w:tc>
        <w:tc>
          <w:tcPr>
            <w:tcW w:w="1340" w:type="dxa"/>
            <w:tcBorders>
              <w:top w:val="nil"/>
              <w:left w:val="nil"/>
              <w:bottom w:val="nil"/>
              <w:right w:val="nil"/>
            </w:tcBorders>
            <w:shd w:val="clear" w:color="auto" w:fill="auto"/>
            <w:noWrap/>
            <w:vAlign w:val="bottom"/>
            <w:hideMark/>
          </w:tcPr>
          <w:p w14:paraId="36DCB3B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1902</w:t>
            </w:r>
          </w:p>
        </w:tc>
      </w:tr>
      <w:tr w:rsidR="00044023" w:rsidRPr="00044023" w14:paraId="35325189" w14:textId="77777777" w:rsidTr="00044023">
        <w:trPr>
          <w:trHeight w:val="68"/>
        </w:trPr>
        <w:tc>
          <w:tcPr>
            <w:tcW w:w="960" w:type="dxa"/>
            <w:tcBorders>
              <w:top w:val="nil"/>
              <w:left w:val="nil"/>
              <w:bottom w:val="nil"/>
              <w:right w:val="nil"/>
            </w:tcBorders>
            <w:shd w:val="clear" w:color="auto" w:fill="auto"/>
            <w:noWrap/>
            <w:vAlign w:val="bottom"/>
            <w:hideMark/>
          </w:tcPr>
          <w:p w14:paraId="73B06B3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1982</w:t>
            </w:r>
          </w:p>
        </w:tc>
        <w:tc>
          <w:tcPr>
            <w:tcW w:w="724" w:type="dxa"/>
            <w:tcBorders>
              <w:top w:val="nil"/>
              <w:left w:val="single" w:sz="4" w:space="0" w:color="auto"/>
              <w:bottom w:val="nil"/>
              <w:right w:val="nil"/>
            </w:tcBorders>
            <w:shd w:val="clear" w:color="auto" w:fill="auto"/>
            <w:noWrap/>
            <w:vAlign w:val="bottom"/>
            <w:hideMark/>
          </w:tcPr>
          <w:p w14:paraId="520D54C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28</w:t>
            </w:r>
          </w:p>
        </w:tc>
        <w:tc>
          <w:tcPr>
            <w:tcW w:w="724" w:type="dxa"/>
            <w:tcBorders>
              <w:top w:val="nil"/>
              <w:left w:val="nil"/>
              <w:bottom w:val="nil"/>
              <w:right w:val="nil"/>
            </w:tcBorders>
            <w:shd w:val="clear" w:color="auto" w:fill="auto"/>
            <w:noWrap/>
            <w:vAlign w:val="bottom"/>
            <w:hideMark/>
          </w:tcPr>
          <w:p w14:paraId="64791FB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3" w:type="dxa"/>
            <w:tcBorders>
              <w:top w:val="nil"/>
              <w:left w:val="nil"/>
              <w:bottom w:val="nil"/>
              <w:right w:val="nil"/>
            </w:tcBorders>
            <w:shd w:val="clear" w:color="auto" w:fill="auto"/>
            <w:noWrap/>
            <w:vAlign w:val="bottom"/>
            <w:hideMark/>
          </w:tcPr>
          <w:p w14:paraId="15C1B04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4293771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nil"/>
            </w:tcBorders>
            <w:shd w:val="clear" w:color="auto" w:fill="auto"/>
            <w:noWrap/>
            <w:vAlign w:val="bottom"/>
            <w:hideMark/>
          </w:tcPr>
          <w:p w14:paraId="2E4D9B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single" w:sz="4" w:space="0" w:color="auto"/>
            </w:tcBorders>
            <w:shd w:val="clear" w:color="auto" w:fill="auto"/>
            <w:noWrap/>
            <w:vAlign w:val="bottom"/>
            <w:hideMark/>
          </w:tcPr>
          <w:p w14:paraId="72405E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680" w:type="dxa"/>
            <w:tcBorders>
              <w:top w:val="nil"/>
              <w:left w:val="nil"/>
              <w:bottom w:val="nil"/>
              <w:right w:val="nil"/>
            </w:tcBorders>
            <w:shd w:val="clear" w:color="auto" w:fill="auto"/>
            <w:noWrap/>
            <w:vAlign w:val="bottom"/>
            <w:hideMark/>
          </w:tcPr>
          <w:p w14:paraId="2A8134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93</w:t>
            </w:r>
          </w:p>
        </w:tc>
        <w:tc>
          <w:tcPr>
            <w:tcW w:w="1340" w:type="dxa"/>
            <w:tcBorders>
              <w:top w:val="nil"/>
              <w:left w:val="nil"/>
              <w:bottom w:val="nil"/>
              <w:right w:val="nil"/>
            </w:tcBorders>
            <w:shd w:val="clear" w:color="auto" w:fill="auto"/>
            <w:noWrap/>
            <w:vAlign w:val="bottom"/>
            <w:hideMark/>
          </w:tcPr>
          <w:p w14:paraId="39CE2A1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1995</w:t>
            </w:r>
          </w:p>
        </w:tc>
      </w:tr>
      <w:tr w:rsidR="00044023" w:rsidRPr="00044023" w14:paraId="178785D3" w14:textId="77777777" w:rsidTr="00044023">
        <w:trPr>
          <w:trHeight w:val="68"/>
        </w:trPr>
        <w:tc>
          <w:tcPr>
            <w:tcW w:w="960" w:type="dxa"/>
            <w:tcBorders>
              <w:top w:val="nil"/>
              <w:left w:val="nil"/>
              <w:bottom w:val="nil"/>
              <w:right w:val="nil"/>
            </w:tcBorders>
            <w:shd w:val="clear" w:color="auto" w:fill="auto"/>
            <w:noWrap/>
            <w:vAlign w:val="bottom"/>
            <w:hideMark/>
          </w:tcPr>
          <w:p w14:paraId="666EB4A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1983</w:t>
            </w:r>
          </w:p>
        </w:tc>
        <w:tc>
          <w:tcPr>
            <w:tcW w:w="724" w:type="dxa"/>
            <w:tcBorders>
              <w:top w:val="nil"/>
              <w:left w:val="single" w:sz="4" w:space="0" w:color="auto"/>
              <w:bottom w:val="nil"/>
              <w:right w:val="nil"/>
            </w:tcBorders>
            <w:shd w:val="clear" w:color="auto" w:fill="auto"/>
            <w:noWrap/>
            <w:vAlign w:val="bottom"/>
            <w:hideMark/>
          </w:tcPr>
          <w:p w14:paraId="401675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w:t>
            </w:r>
          </w:p>
        </w:tc>
        <w:tc>
          <w:tcPr>
            <w:tcW w:w="724" w:type="dxa"/>
            <w:tcBorders>
              <w:top w:val="nil"/>
              <w:left w:val="nil"/>
              <w:bottom w:val="nil"/>
              <w:right w:val="nil"/>
            </w:tcBorders>
            <w:shd w:val="clear" w:color="auto" w:fill="auto"/>
            <w:noWrap/>
            <w:vAlign w:val="bottom"/>
            <w:hideMark/>
          </w:tcPr>
          <w:p w14:paraId="3896D3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3" w:type="dxa"/>
            <w:tcBorders>
              <w:top w:val="nil"/>
              <w:left w:val="nil"/>
              <w:bottom w:val="nil"/>
              <w:right w:val="nil"/>
            </w:tcBorders>
            <w:shd w:val="clear" w:color="auto" w:fill="auto"/>
            <w:noWrap/>
            <w:vAlign w:val="bottom"/>
            <w:hideMark/>
          </w:tcPr>
          <w:p w14:paraId="0D30BE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nil"/>
            </w:tcBorders>
            <w:shd w:val="clear" w:color="auto" w:fill="auto"/>
            <w:noWrap/>
            <w:vAlign w:val="bottom"/>
            <w:hideMark/>
          </w:tcPr>
          <w:p w14:paraId="2208AA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417D5DC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single" w:sz="4" w:space="0" w:color="auto"/>
            </w:tcBorders>
            <w:shd w:val="clear" w:color="auto" w:fill="auto"/>
            <w:noWrap/>
            <w:vAlign w:val="bottom"/>
            <w:hideMark/>
          </w:tcPr>
          <w:p w14:paraId="0184400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680" w:type="dxa"/>
            <w:tcBorders>
              <w:top w:val="nil"/>
              <w:left w:val="nil"/>
              <w:bottom w:val="nil"/>
              <w:right w:val="nil"/>
            </w:tcBorders>
            <w:shd w:val="clear" w:color="auto" w:fill="auto"/>
            <w:noWrap/>
            <w:vAlign w:val="bottom"/>
            <w:hideMark/>
          </w:tcPr>
          <w:p w14:paraId="49998CC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84</w:t>
            </w:r>
          </w:p>
        </w:tc>
        <w:tc>
          <w:tcPr>
            <w:tcW w:w="1340" w:type="dxa"/>
            <w:tcBorders>
              <w:top w:val="nil"/>
              <w:left w:val="nil"/>
              <w:bottom w:val="nil"/>
              <w:right w:val="nil"/>
            </w:tcBorders>
            <w:shd w:val="clear" w:color="auto" w:fill="auto"/>
            <w:noWrap/>
            <w:vAlign w:val="bottom"/>
            <w:hideMark/>
          </w:tcPr>
          <w:p w14:paraId="22BBBE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2079</w:t>
            </w:r>
          </w:p>
        </w:tc>
      </w:tr>
      <w:tr w:rsidR="00044023" w:rsidRPr="00044023" w14:paraId="5E424854" w14:textId="77777777" w:rsidTr="00044023">
        <w:trPr>
          <w:trHeight w:val="68"/>
        </w:trPr>
        <w:tc>
          <w:tcPr>
            <w:tcW w:w="960" w:type="dxa"/>
            <w:tcBorders>
              <w:top w:val="nil"/>
              <w:left w:val="nil"/>
              <w:bottom w:val="nil"/>
              <w:right w:val="nil"/>
            </w:tcBorders>
            <w:shd w:val="clear" w:color="auto" w:fill="auto"/>
            <w:noWrap/>
            <w:vAlign w:val="bottom"/>
            <w:hideMark/>
          </w:tcPr>
          <w:p w14:paraId="45259C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1984</w:t>
            </w:r>
          </w:p>
        </w:tc>
        <w:tc>
          <w:tcPr>
            <w:tcW w:w="724" w:type="dxa"/>
            <w:tcBorders>
              <w:top w:val="nil"/>
              <w:left w:val="single" w:sz="4" w:space="0" w:color="auto"/>
              <w:bottom w:val="nil"/>
              <w:right w:val="nil"/>
            </w:tcBorders>
            <w:shd w:val="clear" w:color="auto" w:fill="auto"/>
            <w:noWrap/>
            <w:vAlign w:val="bottom"/>
            <w:hideMark/>
          </w:tcPr>
          <w:p w14:paraId="4F01656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4" w:type="dxa"/>
            <w:tcBorders>
              <w:top w:val="nil"/>
              <w:left w:val="nil"/>
              <w:bottom w:val="nil"/>
              <w:right w:val="nil"/>
            </w:tcBorders>
            <w:shd w:val="clear" w:color="auto" w:fill="auto"/>
            <w:noWrap/>
            <w:vAlign w:val="bottom"/>
            <w:hideMark/>
          </w:tcPr>
          <w:p w14:paraId="039BA9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723" w:type="dxa"/>
            <w:tcBorders>
              <w:top w:val="nil"/>
              <w:left w:val="nil"/>
              <w:bottom w:val="nil"/>
              <w:right w:val="nil"/>
            </w:tcBorders>
            <w:shd w:val="clear" w:color="auto" w:fill="auto"/>
            <w:noWrap/>
            <w:vAlign w:val="bottom"/>
            <w:hideMark/>
          </w:tcPr>
          <w:p w14:paraId="05D0326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nil"/>
            </w:tcBorders>
            <w:shd w:val="clear" w:color="auto" w:fill="auto"/>
            <w:noWrap/>
            <w:vAlign w:val="bottom"/>
            <w:hideMark/>
          </w:tcPr>
          <w:p w14:paraId="1F2AF00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4D4685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single" w:sz="4" w:space="0" w:color="auto"/>
            </w:tcBorders>
            <w:shd w:val="clear" w:color="auto" w:fill="auto"/>
            <w:noWrap/>
            <w:vAlign w:val="bottom"/>
            <w:hideMark/>
          </w:tcPr>
          <w:p w14:paraId="257579A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680" w:type="dxa"/>
            <w:tcBorders>
              <w:top w:val="nil"/>
              <w:left w:val="nil"/>
              <w:bottom w:val="nil"/>
              <w:right w:val="nil"/>
            </w:tcBorders>
            <w:shd w:val="clear" w:color="auto" w:fill="auto"/>
            <w:noWrap/>
            <w:vAlign w:val="bottom"/>
            <w:hideMark/>
          </w:tcPr>
          <w:p w14:paraId="26C8AD7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75</w:t>
            </w:r>
          </w:p>
        </w:tc>
        <w:tc>
          <w:tcPr>
            <w:tcW w:w="1340" w:type="dxa"/>
            <w:tcBorders>
              <w:top w:val="nil"/>
              <w:left w:val="nil"/>
              <w:bottom w:val="nil"/>
              <w:right w:val="nil"/>
            </w:tcBorders>
            <w:shd w:val="clear" w:color="auto" w:fill="auto"/>
            <w:noWrap/>
            <w:vAlign w:val="bottom"/>
            <w:hideMark/>
          </w:tcPr>
          <w:p w14:paraId="7BB4B2F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2154</w:t>
            </w:r>
          </w:p>
        </w:tc>
      </w:tr>
      <w:tr w:rsidR="00044023" w:rsidRPr="00044023" w14:paraId="767FAE61" w14:textId="77777777" w:rsidTr="00044023">
        <w:trPr>
          <w:trHeight w:val="68"/>
        </w:trPr>
        <w:tc>
          <w:tcPr>
            <w:tcW w:w="960" w:type="dxa"/>
            <w:tcBorders>
              <w:top w:val="nil"/>
              <w:left w:val="nil"/>
              <w:bottom w:val="nil"/>
              <w:right w:val="nil"/>
            </w:tcBorders>
            <w:shd w:val="clear" w:color="auto" w:fill="auto"/>
            <w:noWrap/>
            <w:vAlign w:val="bottom"/>
            <w:hideMark/>
          </w:tcPr>
          <w:p w14:paraId="2FDDAA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1985</w:t>
            </w:r>
          </w:p>
        </w:tc>
        <w:tc>
          <w:tcPr>
            <w:tcW w:w="724" w:type="dxa"/>
            <w:tcBorders>
              <w:top w:val="nil"/>
              <w:left w:val="single" w:sz="4" w:space="0" w:color="auto"/>
              <w:bottom w:val="nil"/>
              <w:right w:val="nil"/>
            </w:tcBorders>
            <w:shd w:val="clear" w:color="auto" w:fill="auto"/>
            <w:noWrap/>
            <w:vAlign w:val="bottom"/>
            <w:hideMark/>
          </w:tcPr>
          <w:p w14:paraId="65F38CA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4" w:type="dxa"/>
            <w:tcBorders>
              <w:top w:val="nil"/>
              <w:left w:val="nil"/>
              <w:bottom w:val="nil"/>
              <w:right w:val="nil"/>
            </w:tcBorders>
            <w:shd w:val="clear" w:color="auto" w:fill="auto"/>
            <w:noWrap/>
            <w:vAlign w:val="bottom"/>
            <w:hideMark/>
          </w:tcPr>
          <w:p w14:paraId="4B67F03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723" w:type="dxa"/>
            <w:tcBorders>
              <w:top w:val="nil"/>
              <w:left w:val="nil"/>
              <w:bottom w:val="nil"/>
              <w:right w:val="nil"/>
            </w:tcBorders>
            <w:shd w:val="clear" w:color="auto" w:fill="auto"/>
            <w:noWrap/>
            <w:vAlign w:val="bottom"/>
            <w:hideMark/>
          </w:tcPr>
          <w:p w14:paraId="6D76FF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093AF1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354FA62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single" w:sz="4" w:space="0" w:color="auto"/>
            </w:tcBorders>
            <w:shd w:val="clear" w:color="auto" w:fill="auto"/>
            <w:noWrap/>
            <w:vAlign w:val="bottom"/>
            <w:hideMark/>
          </w:tcPr>
          <w:p w14:paraId="4BA4DF4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680" w:type="dxa"/>
            <w:tcBorders>
              <w:top w:val="nil"/>
              <w:left w:val="nil"/>
              <w:bottom w:val="nil"/>
              <w:right w:val="nil"/>
            </w:tcBorders>
            <w:shd w:val="clear" w:color="auto" w:fill="auto"/>
            <w:noWrap/>
            <w:vAlign w:val="bottom"/>
            <w:hideMark/>
          </w:tcPr>
          <w:p w14:paraId="0F17B0B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67</w:t>
            </w:r>
          </w:p>
        </w:tc>
        <w:tc>
          <w:tcPr>
            <w:tcW w:w="1340" w:type="dxa"/>
            <w:tcBorders>
              <w:top w:val="nil"/>
              <w:left w:val="nil"/>
              <w:bottom w:val="nil"/>
              <w:right w:val="nil"/>
            </w:tcBorders>
            <w:shd w:val="clear" w:color="auto" w:fill="auto"/>
            <w:noWrap/>
            <w:vAlign w:val="bottom"/>
            <w:hideMark/>
          </w:tcPr>
          <w:p w14:paraId="1AE24BB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2221</w:t>
            </w:r>
          </w:p>
        </w:tc>
      </w:tr>
      <w:tr w:rsidR="00044023" w:rsidRPr="00044023" w14:paraId="4061D628" w14:textId="77777777" w:rsidTr="00044023">
        <w:trPr>
          <w:trHeight w:val="68"/>
        </w:trPr>
        <w:tc>
          <w:tcPr>
            <w:tcW w:w="960" w:type="dxa"/>
            <w:tcBorders>
              <w:top w:val="nil"/>
              <w:left w:val="nil"/>
              <w:bottom w:val="nil"/>
              <w:right w:val="nil"/>
            </w:tcBorders>
            <w:shd w:val="clear" w:color="auto" w:fill="auto"/>
            <w:noWrap/>
            <w:vAlign w:val="bottom"/>
            <w:hideMark/>
          </w:tcPr>
          <w:p w14:paraId="1B51A59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1986</w:t>
            </w:r>
          </w:p>
        </w:tc>
        <w:tc>
          <w:tcPr>
            <w:tcW w:w="724" w:type="dxa"/>
            <w:tcBorders>
              <w:top w:val="nil"/>
              <w:left w:val="single" w:sz="4" w:space="0" w:color="auto"/>
              <w:bottom w:val="nil"/>
              <w:right w:val="nil"/>
            </w:tcBorders>
            <w:shd w:val="clear" w:color="auto" w:fill="auto"/>
            <w:noWrap/>
            <w:vAlign w:val="bottom"/>
            <w:hideMark/>
          </w:tcPr>
          <w:p w14:paraId="264A70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4" w:type="dxa"/>
            <w:tcBorders>
              <w:top w:val="nil"/>
              <w:left w:val="nil"/>
              <w:bottom w:val="nil"/>
              <w:right w:val="nil"/>
            </w:tcBorders>
            <w:shd w:val="clear" w:color="auto" w:fill="auto"/>
            <w:noWrap/>
            <w:vAlign w:val="bottom"/>
            <w:hideMark/>
          </w:tcPr>
          <w:p w14:paraId="10CA55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nil"/>
            </w:tcBorders>
            <w:shd w:val="clear" w:color="auto" w:fill="auto"/>
            <w:noWrap/>
            <w:vAlign w:val="bottom"/>
            <w:hideMark/>
          </w:tcPr>
          <w:p w14:paraId="3D2DFEA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288E73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7BE0B0A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single" w:sz="4" w:space="0" w:color="auto"/>
            </w:tcBorders>
            <w:shd w:val="clear" w:color="auto" w:fill="auto"/>
            <w:noWrap/>
            <w:vAlign w:val="bottom"/>
            <w:hideMark/>
          </w:tcPr>
          <w:p w14:paraId="75E51AC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680" w:type="dxa"/>
            <w:tcBorders>
              <w:top w:val="nil"/>
              <w:left w:val="nil"/>
              <w:bottom w:val="nil"/>
              <w:right w:val="nil"/>
            </w:tcBorders>
            <w:shd w:val="clear" w:color="auto" w:fill="auto"/>
            <w:noWrap/>
            <w:vAlign w:val="bottom"/>
            <w:hideMark/>
          </w:tcPr>
          <w:p w14:paraId="714236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61</w:t>
            </w:r>
          </w:p>
        </w:tc>
        <w:tc>
          <w:tcPr>
            <w:tcW w:w="1340" w:type="dxa"/>
            <w:tcBorders>
              <w:top w:val="nil"/>
              <w:left w:val="nil"/>
              <w:bottom w:val="nil"/>
              <w:right w:val="nil"/>
            </w:tcBorders>
            <w:shd w:val="clear" w:color="auto" w:fill="auto"/>
            <w:noWrap/>
            <w:vAlign w:val="bottom"/>
            <w:hideMark/>
          </w:tcPr>
          <w:p w14:paraId="1437EBE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2282</w:t>
            </w:r>
          </w:p>
        </w:tc>
      </w:tr>
      <w:tr w:rsidR="00044023" w:rsidRPr="00044023" w14:paraId="1B369E3B" w14:textId="77777777" w:rsidTr="00044023">
        <w:trPr>
          <w:trHeight w:val="68"/>
        </w:trPr>
        <w:tc>
          <w:tcPr>
            <w:tcW w:w="960" w:type="dxa"/>
            <w:tcBorders>
              <w:top w:val="nil"/>
              <w:left w:val="nil"/>
              <w:bottom w:val="nil"/>
              <w:right w:val="nil"/>
            </w:tcBorders>
            <w:shd w:val="clear" w:color="auto" w:fill="auto"/>
            <w:noWrap/>
            <w:vAlign w:val="bottom"/>
            <w:hideMark/>
          </w:tcPr>
          <w:p w14:paraId="0461A3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1987</w:t>
            </w:r>
          </w:p>
        </w:tc>
        <w:tc>
          <w:tcPr>
            <w:tcW w:w="724" w:type="dxa"/>
            <w:tcBorders>
              <w:top w:val="nil"/>
              <w:left w:val="single" w:sz="4" w:space="0" w:color="auto"/>
              <w:bottom w:val="nil"/>
              <w:right w:val="nil"/>
            </w:tcBorders>
            <w:shd w:val="clear" w:color="auto" w:fill="auto"/>
            <w:noWrap/>
            <w:vAlign w:val="bottom"/>
            <w:hideMark/>
          </w:tcPr>
          <w:p w14:paraId="30BE161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4" w:type="dxa"/>
            <w:tcBorders>
              <w:top w:val="nil"/>
              <w:left w:val="nil"/>
              <w:bottom w:val="nil"/>
              <w:right w:val="nil"/>
            </w:tcBorders>
            <w:shd w:val="clear" w:color="auto" w:fill="auto"/>
            <w:noWrap/>
            <w:vAlign w:val="bottom"/>
            <w:hideMark/>
          </w:tcPr>
          <w:p w14:paraId="07617BC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nil"/>
            </w:tcBorders>
            <w:shd w:val="clear" w:color="auto" w:fill="auto"/>
            <w:noWrap/>
            <w:vAlign w:val="bottom"/>
            <w:hideMark/>
          </w:tcPr>
          <w:p w14:paraId="41D5F62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485027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46029FF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single" w:sz="4" w:space="0" w:color="auto"/>
            </w:tcBorders>
            <w:shd w:val="clear" w:color="auto" w:fill="auto"/>
            <w:noWrap/>
            <w:vAlign w:val="bottom"/>
            <w:hideMark/>
          </w:tcPr>
          <w:p w14:paraId="6DBF41E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680" w:type="dxa"/>
            <w:tcBorders>
              <w:top w:val="nil"/>
              <w:left w:val="nil"/>
              <w:bottom w:val="nil"/>
              <w:right w:val="nil"/>
            </w:tcBorders>
            <w:shd w:val="clear" w:color="auto" w:fill="auto"/>
            <w:noWrap/>
            <w:vAlign w:val="bottom"/>
            <w:hideMark/>
          </w:tcPr>
          <w:p w14:paraId="5D5156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54</w:t>
            </w:r>
          </w:p>
        </w:tc>
        <w:tc>
          <w:tcPr>
            <w:tcW w:w="1340" w:type="dxa"/>
            <w:tcBorders>
              <w:top w:val="nil"/>
              <w:left w:val="nil"/>
              <w:bottom w:val="nil"/>
              <w:right w:val="nil"/>
            </w:tcBorders>
            <w:shd w:val="clear" w:color="auto" w:fill="auto"/>
            <w:noWrap/>
            <w:vAlign w:val="bottom"/>
            <w:hideMark/>
          </w:tcPr>
          <w:p w14:paraId="145EFDA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2336</w:t>
            </w:r>
          </w:p>
        </w:tc>
      </w:tr>
      <w:tr w:rsidR="00044023" w:rsidRPr="00044023" w14:paraId="61996797" w14:textId="77777777" w:rsidTr="00044023">
        <w:trPr>
          <w:trHeight w:val="68"/>
        </w:trPr>
        <w:tc>
          <w:tcPr>
            <w:tcW w:w="960" w:type="dxa"/>
            <w:tcBorders>
              <w:top w:val="nil"/>
              <w:left w:val="nil"/>
              <w:bottom w:val="nil"/>
              <w:right w:val="nil"/>
            </w:tcBorders>
            <w:shd w:val="clear" w:color="auto" w:fill="auto"/>
            <w:noWrap/>
            <w:vAlign w:val="bottom"/>
            <w:hideMark/>
          </w:tcPr>
          <w:p w14:paraId="196102B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1988</w:t>
            </w:r>
          </w:p>
        </w:tc>
        <w:tc>
          <w:tcPr>
            <w:tcW w:w="724" w:type="dxa"/>
            <w:tcBorders>
              <w:top w:val="nil"/>
              <w:left w:val="single" w:sz="4" w:space="0" w:color="auto"/>
              <w:bottom w:val="nil"/>
              <w:right w:val="nil"/>
            </w:tcBorders>
            <w:shd w:val="clear" w:color="auto" w:fill="auto"/>
            <w:noWrap/>
            <w:vAlign w:val="bottom"/>
            <w:hideMark/>
          </w:tcPr>
          <w:p w14:paraId="39B30D8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4" w:type="dxa"/>
            <w:tcBorders>
              <w:top w:val="nil"/>
              <w:left w:val="nil"/>
              <w:bottom w:val="nil"/>
              <w:right w:val="nil"/>
            </w:tcBorders>
            <w:shd w:val="clear" w:color="auto" w:fill="auto"/>
            <w:noWrap/>
            <w:vAlign w:val="bottom"/>
            <w:hideMark/>
          </w:tcPr>
          <w:p w14:paraId="251B2AC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1E45886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6C8EF5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43764C7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single" w:sz="4" w:space="0" w:color="auto"/>
            </w:tcBorders>
            <w:shd w:val="clear" w:color="auto" w:fill="auto"/>
            <w:noWrap/>
            <w:vAlign w:val="bottom"/>
            <w:hideMark/>
          </w:tcPr>
          <w:p w14:paraId="2C5F83C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680" w:type="dxa"/>
            <w:tcBorders>
              <w:top w:val="nil"/>
              <w:left w:val="nil"/>
              <w:bottom w:val="nil"/>
              <w:right w:val="nil"/>
            </w:tcBorders>
            <w:shd w:val="clear" w:color="auto" w:fill="auto"/>
            <w:noWrap/>
            <w:vAlign w:val="bottom"/>
            <w:hideMark/>
          </w:tcPr>
          <w:p w14:paraId="674E9B3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49</w:t>
            </w:r>
          </w:p>
        </w:tc>
        <w:tc>
          <w:tcPr>
            <w:tcW w:w="1340" w:type="dxa"/>
            <w:tcBorders>
              <w:top w:val="nil"/>
              <w:left w:val="nil"/>
              <w:bottom w:val="nil"/>
              <w:right w:val="nil"/>
            </w:tcBorders>
            <w:shd w:val="clear" w:color="auto" w:fill="auto"/>
            <w:noWrap/>
            <w:vAlign w:val="bottom"/>
            <w:hideMark/>
          </w:tcPr>
          <w:p w14:paraId="4DA582D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2385</w:t>
            </w:r>
          </w:p>
        </w:tc>
      </w:tr>
      <w:tr w:rsidR="00044023" w:rsidRPr="00044023" w14:paraId="79623283" w14:textId="77777777" w:rsidTr="00044023">
        <w:trPr>
          <w:trHeight w:val="68"/>
        </w:trPr>
        <w:tc>
          <w:tcPr>
            <w:tcW w:w="960" w:type="dxa"/>
            <w:tcBorders>
              <w:top w:val="nil"/>
              <w:left w:val="nil"/>
              <w:bottom w:val="nil"/>
              <w:right w:val="nil"/>
            </w:tcBorders>
            <w:shd w:val="clear" w:color="auto" w:fill="auto"/>
            <w:noWrap/>
            <w:vAlign w:val="bottom"/>
            <w:hideMark/>
          </w:tcPr>
          <w:p w14:paraId="552804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1989</w:t>
            </w:r>
          </w:p>
        </w:tc>
        <w:tc>
          <w:tcPr>
            <w:tcW w:w="724" w:type="dxa"/>
            <w:tcBorders>
              <w:top w:val="nil"/>
              <w:left w:val="single" w:sz="4" w:space="0" w:color="auto"/>
              <w:bottom w:val="nil"/>
              <w:right w:val="nil"/>
            </w:tcBorders>
            <w:shd w:val="clear" w:color="auto" w:fill="auto"/>
            <w:noWrap/>
            <w:vAlign w:val="bottom"/>
            <w:hideMark/>
          </w:tcPr>
          <w:p w14:paraId="7B4F798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4" w:type="dxa"/>
            <w:tcBorders>
              <w:top w:val="nil"/>
              <w:left w:val="nil"/>
              <w:bottom w:val="nil"/>
              <w:right w:val="nil"/>
            </w:tcBorders>
            <w:shd w:val="clear" w:color="auto" w:fill="auto"/>
            <w:noWrap/>
            <w:vAlign w:val="bottom"/>
            <w:hideMark/>
          </w:tcPr>
          <w:p w14:paraId="32F662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nil"/>
            </w:tcBorders>
            <w:shd w:val="clear" w:color="auto" w:fill="auto"/>
            <w:noWrap/>
            <w:vAlign w:val="bottom"/>
            <w:hideMark/>
          </w:tcPr>
          <w:p w14:paraId="31201C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37F24C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656975C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19D7A7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680" w:type="dxa"/>
            <w:tcBorders>
              <w:top w:val="nil"/>
              <w:left w:val="nil"/>
              <w:bottom w:val="nil"/>
              <w:right w:val="nil"/>
            </w:tcBorders>
            <w:shd w:val="clear" w:color="auto" w:fill="auto"/>
            <w:noWrap/>
            <w:vAlign w:val="bottom"/>
            <w:hideMark/>
          </w:tcPr>
          <w:p w14:paraId="0131CA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1340" w:type="dxa"/>
            <w:tcBorders>
              <w:top w:val="nil"/>
              <w:left w:val="nil"/>
              <w:bottom w:val="nil"/>
              <w:right w:val="nil"/>
            </w:tcBorders>
            <w:shd w:val="clear" w:color="auto" w:fill="auto"/>
            <w:noWrap/>
            <w:vAlign w:val="bottom"/>
            <w:hideMark/>
          </w:tcPr>
          <w:p w14:paraId="6E2E182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2428</w:t>
            </w:r>
          </w:p>
        </w:tc>
      </w:tr>
      <w:tr w:rsidR="00044023" w:rsidRPr="00044023" w14:paraId="0F97C395" w14:textId="77777777" w:rsidTr="00044023">
        <w:trPr>
          <w:trHeight w:val="68"/>
        </w:trPr>
        <w:tc>
          <w:tcPr>
            <w:tcW w:w="960" w:type="dxa"/>
            <w:tcBorders>
              <w:top w:val="nil"/>
              <w:left w:val="nil"/>
              <w:bottom w:val="nil"/>
              <w:right w:val="nil"/>
            </w:tcBorders>
            <w:shd w:val="clear" w:color="auto" w:fill="auto"/>
            <w:noWrap/>
            <w:vAlign w:val="bottom"/>
            <w:hideMark/>
          </w:tcPr>
          <w:p w14:paraId="4738D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1990</w:t>
            </w:r>
          </w:p>
        </w:tc>
        <w:tc>
          <w:tcPr>
            <w:tcW w:w="724" w:type="dxa"/>
            <w:tcBorders>
              <w:top w:val="nil"/>
              <w:left w:val="single" w:sz="4" w:space="0" w:color="auto"/>
              <w:bottom w:val="nil"/>
              <w:right w:val="nil"/>
            </w:tcBorders>
            <w:shd w:val="clear" w:color="auto" w:fill="auto"/>
            <w:noWrap/>
            <w:vAlign w:val="bottom"/>
            <w:hideMark/>
          </w:tcPr>
          <w:p w14:paraId="69DAB1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4" w:type="dxa"/>
            <w:tcBorders>
              <w:top w:val="nil"/>
              <w:left w:val="nil"/>
              <w:bottom w:val="nil"/>
              <w:right w:val="nil"/>
            </w:tcBorders>
            <w:shd w:val="clear" w:color="auto" w:fill="auto"/>
            <w:noWrap/>
            <w:vAlign w:val="bottom"/>
            <w:hideMark/>
          </w:tcPr>
          <w:p w14:paraId="05E7392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1288E91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2962A8E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48F5F9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1F76AE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680" w:type="dxa"/>
            <w:tcBorders>
              <w:top w:val="nil"/>
              <w:left w:val="nil"/>
              <w:bottom w:val="nil"/>
              <w:right w:val="nil"/>
            </w:tcBorders>
            <w:shd w:val="clear" w:color="auto" w:fill="auto"/>
            <w:noWrap/>
            <w:vAlign w:val="bottom"/>
            <w:hideMark/>
          </w:tcPr>
          <w:p w14:paraId="2716AD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1340" w:type="dxa"/>
            <w:tcBorders>
              <w:top w:val="nil"/>
              <w:left w:val="nil"/>
              <w:bottom w:val="nil"/>
              <w:right w:val="nil"/>
            </w:tcBorders>
            <w:shd w:val="clear" w:color="auto" w:fill="auto"/>
            <w:noWrap/>
            <w:vAlign w:val="bottom"/>
            <w:hideMark/>
          </w:tcPr>
          <w:p w14:paraId="2C1A7F7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2466</w:t>
            </w:r>
          </w:p>
        </w:tc>
      </w:tr>
      <w:tr w:rsidR="00044023" w:rsidRPr="00044023" w14:paraId="095F30A4" w14:textId="77777777" w:rsidTr="003400A5">
        <w:trPr>
          <w:trHeight w:val="68"/>
        </w:trPr>
        <w:tc>
          <w:tcPr>
            <w:tcW w:w="960" w:type="dxa"/>
            <w:tcBorders>
              <w:top w:val="nil"/>
              <w:left w:val="nil"/>
              <w:bottom w:val="nil"/>
              <w:right w:val="nil"/>
            </w:tcBorders>
            <w:shd w:val="clear" w:color="auto" w:fill="auto"/>
            <w:noWrap/>
            <w:vAlign w:val="bottom"/>
            <w:hideMark/>
          </w:tcPr>
          <w:p w14:paraId="4C36E1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1991</w:t>
            </w:r>
          </w:p>
        </w:tc>
        <w:tc>
          <w:tcPr>
            <w:tcW w:w="724" w:type="dxa"/>
            <w:tcBorders>
              <w:top w:val="nil"/>
              <w:left w:val="single" w:sz="4" w:space="0" w:color="auto"/>
              <w:bottom w:val="nil"/>
              <w:right w:val="nil"/>
            </w:tcBorders>
            <w:shd w:val="clear" w:color="auto" w:fill="auto"/>
            <w:noWrap/>
            <w:vAlign w:val="bottom"/>
            <w:hideMark/>
          </w:tcPr>
          <w:p w14:paraId="70658DB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4" w:type="dxa"/>
            <w:tcBorders>
              <w:top w:val="nil"/>
              <w:left w:val="nil"/>
              <w:bottom w:val="nil"/>
              <w:right w:val="nil"/>
            </w:tcBorders>
            <w:shd w:val="clear" w:color="auto" w:fill="auto"/>
            <w:noWrap/>
            <w:vAlign w:val="bottom"/>
            <w:hideMark/>
          </w:tcPr>
          <w:p w14:paraId="02FA69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5BC003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7051EB2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1B769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444B932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680" w:type="dxa"/>
            <w:tcBorders>
              <w:top w:val="nil"/>
              <w:left w:val="nil"/>
              <w:bottom w:val="nil"/>
              <w:right w:val="nil"/>
            </w:tcBorders>
            <w:shd w:val="clear" w:color="auto" w:fill="auto"/>
            <w:noWrap/>
            <w:vAlign w:val="bottom"/>
            <w:hideMark/>
          </w:tcPr>
          <w:p w14:paraId="225A3A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w:t>
            </w:r>
          </w:p>
        </w:tc>
        <w:tc>
          <w:tcPr>
            <w:tcW w:w="1340" w:type="dxa"/>
            <w:tcBorders>
              <w:top w:val="nil"/>
              <w:left w:val="nil"/>
              <w:bottom w:val="nil"/>
              <w:right w:val="nil"/>
            </w:tcBorders>
            <w:shd w:val="clear" w:color="auto" w:fill="auto"/>
            <w:noWrap/>
            <w:vAlign w:val="bottom"/>
            <w:hideMark/>
          </w:tcPr>
          <w:p w14:paraId="7A8CDF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2501</w:t>
            </w:r>
          </w:p>
        </w:tc>
      </w:tr>
      <w:tr w:rsidR="00044023" w:rsidRPr="00044023" w14:paraId="43EC46DD" w14:textId="77777777" w:rsidTr="00044023">
        <w:trPr>
          <w:trHeight w:val="68"/>
        </w:trPr>
        <w:tc>
          <w:tcPr>
            <w:tcW w:w="960" w:type="dxa"/>
            <w:tcBorders>
              <w:top w:val="nil"/>
              <w:left w:val="nil"/>
              <w:bottom w:val="nil"/>
              <w:right w:val="nil"/>
            </w:tcBorders>
            <w:shd w:val="clear" w:color="auto" w:fill="auto"/>
            <w:noWrap/>
            <w:vAlign w:val="bottom"/>
            <w:hideMark/>
          </w:tcPr>
          <w:p w14:paraId="23D9C8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1992</w:t>
            </w:r>
          </w:p>
        </w:tc>
        <w:tc>
          <w:tcPr>
            <w:tcW w:w="724" w:type="dxa"/>
            <w:tcBorders>
              <w:top w:val="nil"/>
              <w:left w:val="single" w:sz="4" w:space="0" w:color="auto"/>
              <w:bottom w:val="nil"/>
              <w:right w:val="nil"/>
            </w:tcBorders>
            <w:shd w:val="clear" w:color="auto" w:fill="auto"/>
            <w:noWrap/>
            <w:vAlign w:val="bottom"/>
            <w:hideMark/>
          </w:tcPr>
          <w:p w14:paraId="74F6C73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4" w:type="dxa"/>
            <w:tcBorders>
              <w:top w:val="nil"/>
              <w:left w:val="nil"/>
              <w:bottom w:val="nil"/>
              <w:right w:val="nil"/>
            </w:tcBorders>
            <w:shd w:val="clear" w:color="auto" w:fill="auto"/>
            <w:noWrap/>
            <w:vAlign w:val="bottom"/>
            <w:hideMark/>
          </w:tcPr>
          <w:p w14:paraId="3A463B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3354AEC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52C2CE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668CCC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4D84BD4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680" w:type="dxa"/>
            <w:tcBorders>
              <w:top w:val="nil"/>
              <w:left w:val="nil"/>
              <w:bottom w:val="nil"/>
              <w:right w:val="nil"/>
            </w:tcBorders>
            <w:shd w:val="clear" w:color="auto" w:fill="auto"/>
            <w:noWrap/>
            <w:vAlign w:val="bottom"/>
            <w:hideMark/>
          </w:tcPr>
          <w:p w14:paraId="785DC4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31</w:t>
            </w:r>
          </w:p>
        </w:tc>
        <w:tc>
          <w:tcPr>
            <w:tcW w:w="1340" w:type="dxa"/>
            <w:tcBorders>
              <w:top w:val="nil"/>
              <w:left w:val="nil"/>
              <w:bottom w:val="nil"/>
              <w:right w:val="nil"/>
            </w:tcBorders>
            <w:shd w:val="clear" w:color="auto" w:fill="auto"/>
            <w:noWrap/>
            <w:vAlign w:val="bottom"/>
            <w:hideMark/>
          </w:tcPr>
          <w:p w14:paraId="4052CF6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2532</w:t>
            </w:r>
          </w:p>
        </w:tc>
      </w:tr>
      <w:tr w:rsidR="00044023" w:rsidRPr="00044023" w14:paraId="0B1E4B6D" w14:textId="77777777" w:rsidTr="00044023">
        <w:trPr>
          <w:trHeight w:val="68"/>
        </w:trPr>
        <w:tc>
          <w:tcPr>
            <w:tcW w:w="960" w:type="dxa"/>
            <w:tcBorders>
              <w:top w:val="nil"/>
              <w:left w:val="nil"/>
              <w:bottom w:val="nil"/>
              <w:right w:val="nil"/>
            </w:tcBorders>
            <w:shd w:val="clear" w:color="auto" w:fill="auto"/>
            <w:noWrap/>
            <w:vAlign w:val="bottom"/>
            <w:hideMark/>
          </w:tcPr>
          <w:p w14:paraId="5A6763F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1993</w:t>
            </w:r>
          </w:p>
        </w:tc>
        <w:tc>
          <w:tcPr>
            <w:tcW w:w="724" w:type="dxa"/>
            <w:tcBorders>
              <w:top w:val="nil"/>
              <w:left w:val="single" w:sz="4" w:space="0" w:color="auto"/>
              <w:bottom w:val="nil"/>
              <w:right w:val="nil"/>
            </w:tcBorders>
            <w:shd w:val="clear" w:color="auto" w:fill="auto"/>
            <w:noWrap/>
            <w:vAlign w:val="bottom"/>
            <w:hideMark/>
          </w:tcPr>
          <w:p w14:paraId="4B724F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4" w:type="dxa"/>
            <w:tcBorders>
              <w:top w:val="nil"/>
              <w:left w:val="nil"/>
              <w:bottom w:val="nil"/>
              <w:right w:val="nil"/>
            </w:tcBorders>
            <w:shd w:val="clear" w:color="auto" w:fill="auto"/>
            <w:noWrap/>
            <w:vAlign w:val="bottom"/>
            <w:hideMark/>
          </w:tcPr>
          <w:p w14:paraId="7B4F5D2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2EB6245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C9D29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54424C3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0E72A6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680" w:type="dxa"/>
            <w:tcBorders>
              <w:top w:val="nil"/>
              <w:left w:val="nil"/>
              <w:bottom w:val="nil"/>
              <w:right w:val="nil"/>
            </w:tcBorders>
            <w:shd w:val="clear" w:color="auto" w:fill="auto"/>
            <w:noWrap/>
            <w:vAlign w:val="bottom"/>
            <w:hideMark/>
          </w:tcPr>
          <w:p w14:paraId="5F75277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28</w:t>
            </w:r>
          </w:p>
        </w:tc>
        <w:tc>
          <w:tcPr>
            <w:tcW w:w="1340" w:type="dxa"/>
            <w:tcBorders>
              <w:top w:val="nil"/>
              <w:left w:val="nil"/>
              <w:bottom w:val="nil"/>
              <w:right w:val="nil"/>
            </w:tcBorders>
            <w:shd w:val="clear" w:color="auto" w:fill="auto"/>
            <w:noWrap/>
            <w:vAlign w:val="bottom"/>
            <w:hideMark/>
          </w:tcPr>
          <w:p w14:paraId="2C77CDC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2560</w:t>
            </w:r>
          </w:p>
        </w:tc>
      </w:tr>
      <w:tr w:rsidR="00044023" w:rsidRPr="00044023" w14:paraId="298F4D71" w14:textId="77777777" w:rsidTr="00044023">
        <w:trPr>
          <w:trHeight w:val="125"/>
        </w:trPr>
        <w:tc>
          <w:tcPr>
            <w:tcW w:w="960" w:type="dxa"/>
            <w:tcBorders>
              <w:top w:val="nil"/>
              <w:left w:val="nil"/>
              <w:bottom w:val="nil"/>
              <w:right w:val="nil"/>
            </w:tcBorders>
            <w:shd w:val="clear" w:color="auto" w:fill="auto"/>
            <w:noWrap/>
            <w:vAlign w:val="bottom"/>
            <w:hideMark/>
          </w:tcPr>
          <w:p w14:paraId="244038F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1994</w:t>
            </w:r>
          </w:p>
        </w:tc>
        <w:tc>
          <w:tcPr>
            <w:tcW w:w="724" w:type="dxa"/>
            <w:tcBorders>
              <w:top w:val="nil"/>
              <w:left w:val="single" w:sz="4" w:space="0" w:color="auto"/>
              <w:bottom w:val="nil"/>
              <w:right w:val="nil"/>
            </w:tcBorders>
            <w:shd w:val="clear" w:color="auto" w:fill="auto"/>
            <w:noWrap/>
            <w:vAlign w:val="bottom"/>
            <w:hideMark/>
          </w:tcPr>
          <w:p w14:paraId="4ED52CB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4" w:type="dxa"/>
            <w:tcBorders>
              <w:top w:val="nil"/>
              <w:left w:val="nil"/>
              <w:bottom w:val="nil"/>
              <w:right w:val="nil"/>
            </w:tcBorders>
            <w:shd w:val="clear" w:color="auto" w:fill="auto"/>
            <w:noWrap/>
            <w:vAlign w:val="bottom"/>
            <w:hideMark/>
          </w:tcPr>
          <w:p w14:paraId="63209CE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752F33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2EC4DA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5105D7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682BC2C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680" w:type="dxa"/>
            <w:tcBorders>
              <w:top w:val="nil"/>
              <w:left w:val="nil"/>
              <w:bottom w:val="nil"/>
              <w:right w:val="nil"/>
            </w:tcBorders>
            <w:shd w:val="clear" w:color="auto" w:fill="auto"/>
            <w:noWrap/>
            <w:vAlign w:val="bottom"/>
            <w:hideMark/>
          </w:tcPr>
          <w:p w14:paraId="71DBEB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w:t>
            </w:r>
          </w:p>
        </w:tc>
        <w:tc>
          <w:tcPr>
            <w:tcW w:w="1340" w:type="dxa"/>
            <w:tcBorders>
              <w:top w:val="nil"/>
              <w:left w:val="nil"/>
              <w:bottom w:val="nil"/>
              <w:right w:val="nil"/>
            </w:tcBorders>
            <w:shd w:val="clear" w:color="auto" w:fill="auto"/>
            <w:noWrap/>
            <w:vAlign w:val="bottom"/>
            <w:hideMark/>
          </w:tcPr>
          <w:p w14:paraId="1CE21D6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2585</w:t>
            </w:r>
          </w:p>
        </w:tc>
      </w:tr>
      <w:tr w:rsidR="00044023" w:rsidRPr="00044023" w14:paraId="07CB70EE" w14:textId="77777777" w:rsidTr="00044023">
        <w:trPr>
          <w:trHeight w:val="129"/>
        </w:trPr>
        <w:tc>
          <w:tcPr>
            <w:tcW w:w="960" w:type="dxa"/>
            <w:tcBorders>
              <w:top w:val="nil"/>
              <w:left w:val="nil"/>
              <w:bottom w:val="nil"/>
              <w:right w:val="nil"/>
            </w:tcBorders>
            <w:shd w:val="clear" w:color="auto" w:fill="auto"/>
            <w:noWrap/>
            <w:vAlign w:val="bottom"/>
            <w:hideMark/>
          </w:tcPr>
          <w:p w14:paraId="799AAB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1995</w:t>
            </w:r>
          </w:p>
        </w:tc>
        <w:tc>
          <w:tcPr>
            <w:tcW w:w="724" w:type="dxa"/>
            <w:tcBorders>
              <w:top w:val="nil"/>
              <w:left w:val="single" w:sz="4" w:space="0" w:color="auto"/>
              <w:bottom w:val="nil"/>
              <w:right w:val="nil"/>
            </w:tcBorders>
            <w:shd w:val="clear" w:color="auto" w:fill="auto"/>
            <w:noWrap/>
            <w:vAlign w:val="bottom"/>
            <w:hideMark/>
          </w:tcPr>
          <w:p w14:paraId="3DA060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4" w:type="dxa"/>
            <w:tcBorders>
              <w:top w:val="nil"/>
              <w:left w:val="nil"/>
              <w:bottom w:val="nil"/>
              <w:right w:val="nil"/>
            </w:tcBorders>
            <w:shd w:val="clear" w:color="auto" w:fill="auto"/>
            <w:noWrap/>
            <w:vAlign w:val="bottom"/>
            <w:hideMark/>
          </w:tcPr>
          <w:p w14:paraId="4CB3F45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2EB077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42D528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06737ED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17D51F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6630AE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1340" w:type="dxa"/>
            <w:tcBorders>
              <w:top w:val="nil"/>
              <w:left w:val="nil"/>
              <w:bottom w:val="nil"/>
              <w:right w:val="nil"/>
            </w:tcBorders>
            <w:shd w:val="clear" w:color="auto" w:fill="auto"/>
            <w:noWrap/>
            <w:vAlign w:val="bottom"/>
            <w:hideMark/>
          </w:tcPr>
          <w:p w14:paraId="74A20CA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2607</w:t>
            </w:r>
          </w:p>
        </w:tc>
      </w:tr>
      <w:tr w:rsidR="00044023" w:rsidRPr="00044023" w14:paraId="03C77580" w14:textId="77777777" w:rsidTr="00044023">
        <w:trPr>
          <w:trHeight w:val="119"/>
        </w:trPr>
        <w:tc>
          <w:tcPr>
            <w:tcW w:w="960" w:type="dxa"/>
            <w:tcBorders>
              <w:top w:val="nil"/>
              <w:left w:val="nil"/>
              <w:bottom w:val="nil"/>
              <w:right w:val="nil"/>
            </w:tcBorders>
            <w:shd w:val="clear" w:color="auto" w:fill="auto"/>
            <w:noWrap/>
            <w:vAlign w:val="bottom"/>
            <w:hideMark/>
          </w:tcPr>
          <w:p w14:paraId="22B8186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1996</w:t>
            </w:r>
          </w:p>
        </w:tc>
        <w:tc>
          <w:tcPr>
            <w:tcW w:w="724" w:type="dxa"/>
            <w:tcBorders>
              <w:top w:val="nil"/>
              <w:left w:val="single" w:sz="4" w:space="0" w:color="auto"/>
              <w:bottom w:val="nil"/>
              <w:right w:val="nil"/>
            </w:tcBorders>
            <w:shd w:val="clear" w:color="auto" w:fill="auto"/>
            <w:noWrap/>
            <w:vAlign w:val="bottom"/>
            <w:hideMark/>
          </w:tcPr>
          <w:p w14:paraId="0B8DEF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4" w:type="dxa"/>
            <w:tcBorders>
              <w:top w:val="nil"/>
              <w:left w:val="nil"/>
              <w:bottom w:val="nil"/>
              <w:right w:val="nil"/>
            </w:tcBorders>
            <w:shd w:val="clear" w:color="auto" w:fill="auto"/>
            <w:noWrap/>
            <w:vAlign w:val="bottom"/>
            <w:hideMark/>
          </w:tcPr>
          <w:p w14:paraId="5F33970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5934DD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5C2907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D09B3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68287A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73E8F35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1340" w:type="dxa"/>
            <w:tcBorders>
              <w:top w:val="nil"/>
              <w:left w:val="nil"/>
              <w:bottom w:val="nil"/>
              <w:right w:val="nil"/>
            </w:tcBorders>
            <w:shd w:val="clear" w:color="auto" w:fill="auto"/>
            <w:noWrap/>
            <w:vAlign w:val="bottom"/>
            <w:hideMark/>
          </w:tcPr>
          <w:p w14:paraId="4ACBB40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2627</w:t>
            </w:r>
          </w:p>
        </w:tc>
      </w:tr>
      <w:tr w:rsidR="00044023" w:rsidRPr="00044023" w14:paraId="2276C38D" w14:textId="77777777" w:rsidTr="00044023">
        <w:trPr>
          <w:trHeight w:val="110"/>
        </w:trPr>
        <w:tc>
          <w:tcPr>
            <w:tcW w:w="960" w:type="dxa"/>
            <w:tcBorders>
              <w:top w:val="nil"/>
              <w:left w:val="nil"/>
              <w:bottom w:val="nil"/>
              <w:right w:val="nil"/>
            </w:tcBorders>
            <w:shd w:val="clear" w:color="auto" w:fill="auto"/>
            <w:noWrap/>
            <w:vAlign w:val="bottom"/>
            <w:hideMark/>
          </w:tcPr>
          <w:p w14:paraId="15F35F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1997</w:t>
            </w:r>
          </w:p>
        </w:tc>
        <w:tc>
          <w:tcPr>
            <w:tcW w:w="724" w:type="dxa"/>
            <w:tcBorders>
              <w:top w:val="nil"/>
              <w:left w:val="single" w:sz="4" w:space="0" w:color="auto"/>
              <w:bottom w:val="nil"/>
              <w:right w:val="nil"/>
            </w:tcBorders>
            <w:shd w:val="clear" w:color="auto" w:fill="auto"/>
            <w:noWrap/>
            <w:vAlign w:val="bottom"/>
            <w:hideMark/>
          </w:tcPr>
          <w:p w14:paraId="3490895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4" w:type="dxa"/>
            <w:tcBorders>
              <w:top w:val="nil"/>
              <w:left w:val="nil"/>
              <w:bottom w:val="nil"/>
              <w:right w:val="nil"/>
            </w:tcBorders>
            <w:shd w:val="clear" w:color="auto" w:fill="auto"/>
            <w:noWrap/>
            <w:vAlign w:val="bottom"/>
            <w:hideMark/>
          </w:tcPr>
          <w:p w14:paraId="27F1E8F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0682DF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65CE1C3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F1E546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39990A7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3F33A4F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1340" w:type="dxa"/>
            <w:tcBorders>
              <w:top w:val="nil"/>
              <w:left w:val="nil"/>
              <w:bottom w:val="nil"/>
              <w:right w:val="nil"/>
            </w:tcBorders>
            <w:shd w:val="clear" w:color="auto" w:fill="auto"/>
            <w:noWrap/>
            <w:vAlign w:val="bottom"/>
            <w:hideMark/>
          </w:tcPr>
          <w:p w14:paraId="3B4D605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2645</w:t>
            </w:r>
          </w:p>
        </w:tc>
      </w:tr>
      <w:tr w:rsidR="00044023" w:rsidRPr="00044023" w14:paraId="03BF2404" w14:textId="77777777" w:rsidTr="00044023">
        <w:trPr>
          <w:trHeight w:val="113"/>
        </w:trPr>
        <w:tc>
          <w:tcPr>
            <w:tcW w:w="960" w:type="dxa"/>
            <w:tcBorders>
              <w:top w:val="nil"/>
              <w:left w:val="nil"/>
              <w:bottom w:val="nil"/>
              <w:right w:val="nil"/>
            </w:tcBorders>
            <w:shd w:val="clear" w:color="auto" w:fill="auto"/>
            <w:noWrap/>
            <w:vAlign w:val="bottom"/>
            <w:hideMark/>
          </w:tcPr>
          <w:p w14:paraId="4138C40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1998</w:t>
            </w:r>
          </w:p>
        </w:tc>
        <w:tc>
          <w:tcPr>
            <w:tcW w:w="724" w:type="dxa"/>
            <w:tcBorders>
              <w:top w:val="nil"/>
              <w:left w:val="single" w:sz="4" w:space="0" w:color="auto"/>
              <w:bottom w:val="nil"/>
              <w:right w:val="nil"/>
            </w:tcBorders>
            <w:shd w:val="clear" w:color="auto" w:fill="auto"/>
            <w:noWrap/>
            <w:vAlign w:val="bottom"/>
            <w:hideMark/>
          </w:tcPr>
          <w:p w14:paraId="39C5F9A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4" w:type="dxa"/>
            <w:tcBorders>
              <w:top w:val="nil"/>
              <w:left w:val="nil"/>
              <w:bottom w:val="nil"/>
              <w:right w:val="nil"/>
            </w:tcBorders>
            <w:shd w:val="clear" w:color="auto" w:fill="auto"/>
            <w:noWrap/>
            <w:vAlign w:val="bottom"/>
            <w:hideMark/>
          </w:tcPr>
          <w:p w14:paraId="7B07F1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7AD73FF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EBEEBD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6D6A2E4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1D7D78B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718BC2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1340" w:type="dxa"/>
            <w:tcBorders>
              <w:top w:val="nil"/>
              <w:left w:val="nil"/>
              <w:bottom w:val="nil"/>
              <w:right w:val="nil"/>
            </w:tcBorders>
            <w:shd w:val="clear" w:color="auto" w:fill="auto"/>
            <w:noWrap/>
            <w:vAlign w:val="bottom"/>
            <w:hideMark/>
          </w:tcPr>
          <w:p w14:paraId="19A5ABD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2661</w:t>
            </w:r>
          </w:p>
        </w:tc>
      </w:tr>
      <w:tr w:rsidR="00044023" w:rsidRPr="00044023" w14:paraId="0CF08698" w14:textId="77777777" w:rsidTr="00044023">
        <w:trPr>
          <w:trHeight w:val="104"/>
        </w:trPr>
        <w:tc>
          <w:tcPr>
            <w:tcW w:w="960" w:type="dxa"/>
            <w:tcBorders>
              <w:top w:val="nil"/>
              <w:left w:val="nil"/>
              <w:bottom w:val="nil"/>
              <w:right w:val="nil"/>
            </w:tcBorders>
            <w:shd w:val="clear" w:color="auto" w:fill="auto"/>
            <w:noWrap/>
            <w:vAlign w:val="bottom"/>
            <w:hideMark/>
          </w:tcPr>
          <w:p w14:paraId="56D5620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1999</w:t>
            </w:r>
          </w:p>
        </w:tc>
        <w:tc>
          <w:tcPr>
            <w:tcW w:w="724" w:type="dxa"/>
            <w:tcBorders>
              <w:top w:val="nil"/>
              <w:left w:val="single" w:sz="4" w:space="0" w:color="auto"/>
              <w:bottom w:val="nil"/>
              <w:right w:val="nil"/>
            </w:tcBorders>
            <w:shd w:val="clear" w:color="auto" w:fill="auto"/>
            <w:noWrap/>
            <w:vAlign w:val="bottom"/>
            <w:hideMark/>
          </w:tcPr>
          <w:p w14:paraId="531F7A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799F921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79B4C34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6B4D19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01DA44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2D916B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3ED86E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1340" w:type="dxa"/>
            <w:tcBorders>
              <w:top w:val="nil"/>
              <w:left w:val="nil"/>
              <w:bottom w:val="nil"/>
              <w:right w:val="nil"/>
            </w:tcBorders>
            <w:shd w:val="clear" w:color="auto" w:fill="auto"/>
            <w:noWrap/>
            <w:vAlign w:val="bottom"/>
            <w:hideMark/>
          </w:tcPr>
          <w:p w14:paraId="10223FA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2675</w:t>
            </w:r>
          </w:p>
        </w:tc>
      </w:tr>
      <w:tr w:rsidR="00044023" w:rsidRPr="00044023" w14:paraId="1C5EE97E" w14:textId="77777777" w:rsidTr="00044023">
        <w:trPr>
          <w:trHeight w:val="107"/>
        </w:trPr>
        <w:tc>
          <w:tcPr>
            <w:tcW w:w="960" w:type="dxa"/>
            <w:tcBorders>
              <w:top w:val="nil"/>
              <w:left w:val="nil"/>
              <w:bottom w:val="nil"/>
              <w:right w:val="nil"/>
            </w:tcBorders>
            <w:shd w:val="clear" w:color="auto" w:fill="auto"/>
            <w:noWrap/>
            <w:vAlign w:val="bottom"/>
            <w:hideMark/>
          </w:tcPr>
          <w:p w14:paraId="02682D0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2000</w:t>
            </w:r>
          </w:p>
        </w:tc>
        <w:tc>
          <w:tcPr>
            <w:tcW w:w="724" w:type="dxa"/>
            <w:tcBorders>
              <w:top w:val="nil"/>
              <w:left w:val="single" w:sz="4" w:space="0" w:color="auto"/>
              <w:bottom w:val="nil"/>
              <w:right w:val="nil"/>
            </w:tcBorders>
            <w:shd w:val="clear" w:color="auto" w:fill="auto"/>
            <w:noWrap/>
            <w:vAlign w:val="bottom"/>
            <w:hideMark/>
          </w:tcPr>
          <w:p w14:paraId="7194BED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7269E8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640159D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2E069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16475EA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4B07C2B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03C636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1340" w:type="dxa"/>
            <w:tcBorders>
              <w:top w:val="nil"/>
              <w:left w:val="nil"/>
              <w:bottom w:val="nil"/>
              <w:right w:val="nil"/>
            </w:tcBorders>
            <w:shd w:val="clear" w:color="auto" w:fill="auto"/>
            <w:noWrap/>
            <w:vAlign w:val="bottom"/>
            <w:hideMark/>
          </w:tcPr>
          <w:p w14:paraId="6613B0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2688</w:t>
            </w:r>
          </w:p>
        </w:tc>
      </w:tr>
      <w:tr w:rsidR="00044023" w:rsidRPr="00044023" w14:paraId="75BCDD29" w14:textId="77777777" w:rsidTr="00044023">
        <w:trPr>
          <w:trHeight w:val="98"/>
        </w:trPr>
        <w:tc>
          <w:tcPr>
            <w:tcW w:w="960" w:type="dxa"/>
            <w:tcBorders>
              <w:top w:val="nil"/>
              <w:left w:val="nil"/>
              <w:bottom w:val="nil"/>
              <w:right w:val="nil"/>
            </w:tcBorders>
            <w:shd w:val="clear" w:color="auto" w:fill="auto"/>
            <w:noWrap/>
            <w:vAlign w:val="bottom"/>
            <w:hideMark/>
          </w:tcPr>
          <w:p w14:paraId="00303B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2001</w:t>
            </w:r>
          </w:p>
        </w:tc>
        <w:tc>
          <w:tcPr>
            <w:tcW w:w="724" w:type="dxa"/>
            <w:tcBorders>
              <w:top w:val="nil"/>
              <w:left w:val="single" w:sz="4" w:space="0" w:color="auto"/>
              <w:bottom w:val="nil"/>
              <w:right w:val="nil"/>
            </w:tcBorders>
            <w:shd w:val="clear" w:color="auto" w:fill="auto"/>
            <w:noWrap/>
            <w:vAlign w:val="bottom"/>
            <w:hideMark/>
          </w:tcPr>
          <w:p w14:paraId="5570F85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69F3CE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4956B1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1DDC57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91587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39F7E28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75B9BDF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1340" w:type="dxa"/>
            <w:tcBorders>
              <w:top w:val="nil"/>
              <w:left w:val="nil"/>
              <w:bottom w:val="nil"/>
              <w:right w:val="nil"/>
            </w:tcBorders>
            <w:shd w:val="clear" w:color="auto" w:fill="auto"/>
            <w:noWrap/>
            <w:vAlign w:val="bottom"/>
            <w:hideMark/>
          </w:tcPr>
          <w:p w14:paraId="71B988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2700</w:t>
            </w:r>
          </w:p>
        </w:tc>
      </w:tr>
      <w:tr w:rsidR="00044023" w:rsidRPr="00044023" w14:paraId="650AEC9D" w14:textId="77777777" w:rsidTr="00044023">
        <w:trPr>
          <w:trHeight w:val="229"/>
        </w:trPr>
        <w:tc>
          <w:tcPr>
            <w:tcW w:w="960" w:type="dxa"/>
            <w:tcBorders>
              <w:top w:val="nil"/>
              <w:left w:val="nil"/>
              <w:bottom w:val="nil"/>
              <w:right w:val="nil"/>
            </w:tcBorders>
            <w:shd w:val="clear" w:color="auto" w:fill="auto"/>
            <w:noWrap/>
            <w:vAlign w:val="bottom"/>
            <w:hideMark/>
          </w:tcPr>
          <w:p w14:paraId="697D74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2002</w:t>
            </w:r>
          </w:p>
        </w:tc>
        <w:tc>
          <w:tcPr>
            <w:tcW w:w="724" w:type="dxa"/>
            <w:tcBorders>
              <w:top w:val="nil"/>
              <w:left w:val="single" w:sz="4" w:space="0" w:color="auto"/>
              <w:bottom w:val="nil"/>
              <w:right w:val="nil"/>
            </w:tcBorders>
            <w:shd w:val="clear" w:color="auto" w:fill="auto"/>
            <w:noWrap/>
            <w:vAlign w:val="bottom"/>
            <w:hideMark/>
          </w:tcPr>
          <w:p w14:paraId="0CE6FB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145D12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18FA5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EBA3B4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98209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2CB9689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5FED6A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1340" w:type="dxa"/>
            <w:tcBorders>
              <w:top w:val="nil"/>
              <w:left w:val="nil"/>
              <w:bottom w:val="nil"/>
              <w:right w:val="nil"/>
            </w:tcBorders>
            <w:shd w:val="clear" w:color="auto" w:fill="auto"/>
            <w:noWrap/>
            <w:vAlign w:val="bottom"/>
            <w:hideMark/>
          </w:tcPr>
          <w:p w14:paraId="320E2E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2710</w:t>
            </w:r>
          </w:p>
        </w:tc>
      </w:tr>
      <w:tr w:rsidR="00044023" w:rsidRPr="00044023" w14:paraId="7E383292" w14:textId="77777777" w:rsidTr="00044023">
        <w:trPr>
          <w:trHeight w:val="234"/>
        </w:trPr>
        <w:tc>
          <w:tcPr>
            <w:tcW w:w="960" w:type="dxa"/>
            <w:tcBorders>
              <w:top w:val="nil"/>
              <w:left w:val="nil"/>
              <w:bottom w:val="nil"/>
              <w:right w:val="nil"/>
            </w:tcBorders>
            <w:shd w:val="clear" w:color="auto" w:fill="auto"/>
            <w:noWrap/>
            <w:vAlign w:val="bottom"/>
            <w:hideMark/>
          </w:tcPr>
          <w:p w14:paraId="6F242F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2003</w:t>
            </w:r>
          </w:p>
        </w:tc>
        <w:tc>
          <w:tcPr>
            <w:tcW w:w="724" w:type="dxa"/>
            <w:tcBorders>
              <w:top w:val="nil"/>
              <w:left w:val="single" w:sz="4" w:space="0" w:color="auto"/>
              <w:bottom w:val="nil"/>
              <w:right w:val="nil"/>
            </w:tcBorders>
            <w:shd w:val="clear" w:color="auto" w:fill="auto"/>
            <w:noWrap/>
            <w:vAlign w:val="bottom"/>
            <w:hideMark/>
          </w:tcPr>
          <w:p w14:paraId="5A2F0F9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5A771C4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683CD1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960DA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39D02D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3983170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7517130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1340" w:type="dxa"/>
            <w:tcBorders>
              <w:top w:val="nil"/>
              <w:left w:val="nil"/>
              <w:bottom w:val="nil"/>
              <w:right w:val="nil"/>
            </w:tcBorders>
            <w:shd w:val="clear" w:color="auto" w:fill="auto"/>
            <w:noWrap/>
            <w:vAlign w:val="bottom"/>
            <w:hideMark/>
          </w:tcPr>
          <w:p w14:paraId="1140CE5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2719</w:t>
            </w:r>
          </w:p>
        </w:tc>
      </w:tr>
      <w:tr w:rsidR="00044023" w:rsidRPr="00044023" w14:paraId="23516902" w14:textId="77777777" w:rsidTr="00044023">
        <w:trPr>
          <w:trHeight w:val="223"/>
        </w:trPr>
        <w:tc>
          <w:tcPr>
            <w:tcW w:w="960" w:type="dxa"/>
            <w:tcBorders>
              <w:top w:val="nil"/>
              <w:left w:val="nil"/>
              <w:bottom w:val="nil"/>
              <w:right w:val="nil"/>
            </w:tcBorders>
            <w:shd w:val="clear" w:color="auto" w:fill="auto"/>
            <w:noWrap/>
            <w:vAlign w:val="bottom"/>
            <w:hideMark/>
          </w:tcPr>
          <w:p w14:paraId="4CF904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2004</w:t>
            </w:r>
          </w:p>
        </w:tc>
        <w:tc>
          <w:tcPr>
            <w:tcW w:w="724" w:type="dxa"/>
            <w:tcBorders>
              <w:top w:val="nil"/>
              <w:left w:val="single" w:sz="4" w:space="0" w:color="auto"/>
              <w:bottom w:val="nil"/>
              <w:right w:val="nil"/>
            </w:tcBorders>
            <w:shd w:val="clear" w:color="auto" w:fill="auto"/>
            <w:noWrap/>
            <w:vAlign w:val="bottom"/>
            <w:hideMark/>
          </w:tcPr>
          <w:p w14:paraId="083CC6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1E91BD9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82316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551D8C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699E5D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B6639F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BCB51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1340" w:type="dxa"/>
            <w:tcBorders>
              <w:top w:val="nil"/>
              <w:left w:val="nil"/>
              <w:bottom w:val="nil"/>
              <w:right w:val="nil"/>
            </w:tcBorders>
            <w:shd w:val="clear" w:color="auto" w:fill="auto"/>
            <w:noWrap/>
            <w:vAlign w:val="bottom"/>
            <w:hideMark/>
          </w:tcPr>
          <w:p w14:paraId="61FC338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2728</w:t>
            </w:r>
          </w:p>
        </w:tc>
      </w:tr>
      <w:tr w:rsidR="00044023" w:rsidRPr="00044023" w14:paraId="7312AD6F" w14:textId="77777777" w:rsidTr="00044023">
        <w:trPr>
          <w:trHeight w:val="228"/>
        </w:trPr>
        <w:tc>
          <w:tcPr>
            <w:tcW w:w="960" w:type="dxa"/>
            <w:tcBorders>
              <w:top w:val="nil"/>
              <w:left w:val="nil"/>
              <w:bottom w:val="nil"/>
              <w:right w:val="nil"/>
            </w:tcBorders>
            <w:shd w:val="clear" w:color="auto" w:fill="auto"/>
            <w:noWrap/>
            <w:vAlign w:val="bottom"/>
            <w:hideMark/>
          </w:tcPr>
          <w:p w14:paraId="0536369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2005</w:t>
            </w:r>
          </w:p>
        </w:tc>
        <w:tc>
          <w:tcPr>
            <w:tcW w:w="724" w:type="dxa"/>
            <w:tcBorders>
              <w:top w:val="nil"/>
              <w:left w:val="single" w:sz="4" w:space="0" w:color="auto"/>
              <w:bottom w:val="nil"/>
              <w:right w:val="nil"/>
            </w:tcBorders>
            <w:shd w:val="clear" w:color="auto" w:fill="auto"/>
            <w:noWrap/>
            <w:vAlign w:val="bottom"/>
            <w:hideMark/>
          </w:tcPr>
          <w:p w14:paraId="0BD8EF9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1C6B1D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45144A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CC3C7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DD338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B290E2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7110FC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1340" w:type="dxa"/>
            <w:tcBorders>
              <w:top w:val="nil"/>
              <w:left w:val="nil"/>
              <w:bottom w:val="nil"/>
              <w:right w:val="nil"/>
            </w:tcBorders>
            <w:shd w:val="clear" w:color="auto" w:fill="auto"/>
            <w:noWrap/>
            <w:vAlign w:val="bottom"/>
            <w:hideMark/>
          </w:tcPr>
          <w:p w14:paraId="33C04B3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2736</w:t>
            </w:r>
          </w:p>
        </w:tc>
      </w:tr>
      <w:tr w:rsidR="00044023" w:rsidRPr="00044023" w14:paraId="56DA0AAB" w14:textId="77777777" w:rsidTr="00044023">
        <w:trPr>
          <w:trHeight w:val="217"/>
        </w:trPr>
        <w:tc>
          <w:tcPr>
            <w:tcW w:w="960" w:type="dxa"/>
            <w:tcBorders>
              <w:top w:val="nil"/>
              <w:left w:val="nil"/>
              <w:bottom w:val="nil"/>
              <w:right w:val="nil"/>
            </w:tcBorders>
            <w:shd w:val="clear" w:color="auto" w:fill="auto"/>
            <w:noWrap/>
            <w:vAlign w:val="bottom"/>
            <w:hideMark/>
          </w:tcPr>
          <w:p w14:paraId="2E94727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2006</w:t>
            </w:r>
          </w:p>
        </w:tc>
        <w:tc>
          <w:tcPr>
            <w:tcW w:w="724" w:type="dxa"/>
            <w:tcBorders>
              <w:top w:val="nil"/>
              <w:left w:val="single" w:sz="4" w:space="0" w:color="auto"/>
              <w:bottom w:val="nil"/>
              <w:right w:val="nil"/>
            </w:tcBorders>
            <w:shd w:val="clear" w:color="auto" w:fill="auto"/>
            <w:noWrap/>
            <w:vAlign w:val="bottom"/>
            <w:hideMark/>
          </w:tcPr>
          <w:p w14:paraId="0FF7EB8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3512E7D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3155087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6334D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93784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01D17B8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5C7DBD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1340" w:type="dxa"/>
            <w:tcBorders>
              <w:top w:val="nil"/>
              <w:left w:val="nil"/>
              <w:bottom w:val="nil"/>
              <w:right w:val="nil"/>
            </w:tcBorders>
            <w:shd w:val="clear" w:color="auto" w:fill="auto"/>
            <w:noWrap/>
            <w:vAlign w:val="bottom"/>
            <w:hideMark/>
          </w:tcPr>
          <w:p w14:paraId="5ECC18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2743</w:t>
            </w:r>
          </w:p>
        </w:tc>
      </w:tr>
      <w:tr w:rsidR="00044023" w:rsidRPr="00044023" w14:paraId="1E31CCC6" w14:textId="77777777" w:rsidTr="003400A5">
        <w:trPr>
          <w:trHeight w:val="68"/>
        </w:trPr>
        <w:tc>
          <w:tcPr>
            <w:tcW w:w="960" w:type="dxa"/>
            <w:tcBorders>
              <w:top w:val="nil"/>
              <w:left w:val="nil"/>
              <w:bottom w:val="nil"/>
              <w:right w:val="nil"/>
            </w:tcBorders>
            <w:shd w:val="clear" w:color="auto" w:fill="auto"/>
            <w:noWrap/>
            <w:vAlign w:val="bottom"/>
            <w:hideMark/>
          </w:tcPr>
          <w:p w14:paraId="05D819B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2007</w:t>
            </w:r>
          </w:p>
        </w:tc>
        <w:tc>
          <w:tcPr>
            <w:tcW w:w="724" w:type="dxa"/>
            <w:tcBorders>
              <w:top w:val="nil"/>
              <w:left w:val="single" w:sz="4" w:space="0" w:color="auto"/>
              <w:bottom w:val="nil"/>
              <w:right w:val="nil"/>
            </w:tcBorders>
            <w:shd w:val="clear" w:color="auto" w:fill="auto"/>
            <w:noWrap/>
            <w:vAlign w:val="bottom"/>
            <w:hideMark/>
          </w:tcPr>
          <w:p w14:paraId="4E5F41E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3770B6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A0E91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BE9DF7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2EA8A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707FE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08BB88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1340" w:type="dxa"/>
            <w:tcBorders>
              <w:top w:val="nil"/>
              <w:left w:val="nil"/>
              <w:bottom w:val="nil"/>
              <w:right w:val="nil"/>
            </w:tcBorders>
            <w:shd w:val="clear" w:color="auto" w:fill="auto"/>
            <w:noWrap/>
            <w:vAlign w:val="bottom"/>
            <w:hideMark/>
          </w:tcPr>
          <w:p w14:paraId="1D7B4C7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2749</w:t>
            </w:r>
          </w:p>
        </w:tc>
      </w:tr>
      <w:tr w:rsidR="00044023" w:rsidRPr="00044023" w14:paraId="4D7B03E9" w14:textId="77777777" w:rsidTr="00044023">
        <w:trPr>
          <w:trHeight w:val="211"/>
        </w:trPr>
        <w:tc>
          <w:tcPr>
            <w:tcW w:w="960" w:type="dxa"/>
            <w:tcBorders>
              <w:top w:val="nil"/>
              <w:left w:val="nil"/>
              <w:bottom w:val="nil"/>
              <w:right w:val="nil"/>
            </w:tcBorders>
            <w:shd w:val="clear" w:color="auto" w:fill="auto"/>
            <w:noWrap/>
            <w:vAlign w:val="bottom"/>
            <w:hideMark/>
          </w:tcPr>
          <w:p w14:paraId="7789835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2008</w:t>
            </w:r>
          </w:p>
        </w:tc>
        <w:tc>
          <w:tcPr>
            <w:tcW w:w="724" w:type="dxa"/>
            <w:tcBorders>
              <w:top w:val="nil"/>
              <w:left w:val="single" w:sz="4" w:space="0" w:color="auto"/>
              <w:bottom w:val="nil"/>
              <w:right w:val="nil"/>
            </w:tcBorders>
            <w:shd w:val="clear" w:color="auto" w:fill="auto"/>
            <w:noWrap/>
            <w:vAlign w:val="bottom"/>
            <w:hideMark/>
          </w:tcPr>
          <w:p w14:paraId="7180C8B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74A21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8971A3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7D4F3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F9492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1B6DF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0FB7265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1340" w:type="dxa"/>
            <w:tcBorders>
              <w:top w:val="nil"/>
              <w:left w:val="nil"/>
              <w:bottom w:val="nil"/>
              <w:right w:val="nil"/>
            </w:tcBorders>
            <w:shd w:val="clear" w:color="auto" w:fill="auto"/>
            <w:noWrap/>
            <w:vAlign w:val="bottom"/>
            <w:hideMark/>
          </w:tcPr>
          <w:p w14:paraId="004761A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2755</w:t>
            </w:r>
          </w:p>
        </w:tc>
      </w:tr>
      <w:tr w:rsidR="00044023" w:rsidRPr="00044023" w14:paraId="44FF7A25" w14:textId="77777777" w:rsidTr="003400A5">
        <w:trPr>
          <w:trHeight w:val="68"/>
        </w:trPr>
        <w:tc>
          <w:tcPr>
            <w:tcW w:w="960" w:type="dxa"/>
            <w:tcBorders>
              <w:top w:val="nil"/>
              <w:left w:val="nil"/>
              <w:bottom w:val="nil"/>
              <w:right w:val="nil"/>
            </w:tcBorders>
            <w:shd w:val="clear" w:color="auto" w:fill="auto"/>
            <w:noWrap/>
            <w:vAlign w:val="bottom"/>
            <w:hideMark/>
          </w:tcPr>
          <w:p w14:paraId="0351E83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2009</w:t>
            </w:r>
          </w:p>
        </w:tc>
        <w:tc>
          <w:tcPr>
            <w:tcW w:w="724" w:type="dxa"/>
            <w:tcBorders>
              <w:top w:val="nil"/>
              <w:left w:val="single" w:sz="4" w:space="0" w:color="auto"/>
              <w:bottom w:val="nil"/>
              <w:right w:val="nil"/>
            </w:tcBorders>
            <w:shd w:val="clear" w:color="auto" w:fill="auto"/>
            <w:noWrap/>
            <w:vAlign w:val="bottom"/>
            <w:hideMark/>
          </w:tcPr>
          <w:p w14:paraId="7846AE1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4A92A5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F029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7506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296282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55902DF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7408B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1340" w:type="dxa"/>
            <w:tcBorders>
              <w:top w:val="nil"/>
              <w:left w:val="nil"/>
              <w:bottom w:val="nil"/>
              <w:right w:val="nil"/>
            </w:tcBorders>
            <w:shd w:val="clear" w:color="auto" w:fill="auto"/>
            <w:noWrap/>
            <w:vAlign w:val="bottom"/>
            <w:hideMark/>
          </w:tcPr>
          <w:p w14:paraId="222D757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2760</w:t>
            </w:r>
          </w:p>
        </w:tc>
      </w:tr>
      <w:tr w:rsidR="00044023" w:rsidRPr="00044023" w14:paraId="78543D82" w14:textId="77777777" w:rsidTr="00044023">
        <w:trPr>
          <w:trHeight w:val="205"/>
        </w:trPr>
        <w:tc>
          <w:tcPr>
            <w:tcW w:w="960" w:type="dxa"/>
            <w:tcBorders>
              <w:top w:val="nil"/>
              <w:left w:val="nil"/>
              <w:bottom w:val="nil"/>
              <w:right w:val="nil"/>
            </w:tcBorders>
            <w:shd w:val="clear" w:color="auto" w:fill="auto"/>
            <w:noWrap/>
            <w:vAlign w:val="bottom"/>
            <w:hideMark/>
          </w:tcPr>
          <w:p w14:paraId="17FDAE3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2010</w:t>
            </w:r>
          </w:p>
        </w:tc>
        <w:tc>
          <w:tcPr>
            <w:tcW w:w="724" w:type="dxa"/>
            <w:tcBorders>
              <w:top w:val="nil"/>
              <w:left w:val="single" w:sz="4" w:space="0" w:color="auto"/>
              <w:bottom w:val="nil"/>
              <w:right w:val="nil"/>
            </w:tcBorders>
            <w:shd w:val="clear" w:color="auto" w:fill="auto"/>
            <w:noWrap/>
            <w:vAlign w:val="bottom"/>
            <w:hideMark/>
          </w:tcPr>
          <w:p w14:paraId="7A11467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03C98F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669827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2F1C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871E2F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141D9B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4EE992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1340" w:type="dxa"/>
            <w:tcBorders>
              <w:top w:val="nil"/>
              <w:left w:val="nil"/>
              <w:bottom w:val="nil"/>
              <w:right w:val="nil"/>
            </w:tcBorders>
            <w:shd w:val="clear" w:color="auto" w:fill="auto"/>
            <w:noWrap/>
            <w:vAlign w:val="bottom"/>
            <w:hideMark/>
          </w:tcPr>
          <w:p w14:paraId="71A595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2765</w:t>
            </w:r>
          </w:p>
        </w:tc>
      </w:tr>
      <w:tr w:rsidR="00044023" w:rsidRPr="00044023" w14:paraId="18516383" w14:textId="77777777" w:rsidTr="00044023">
        <w:trPr>
          <w:trHeight w:val="196"/>
        </w:trPr>
        <w:tc>
          <w:tcPr>
            <w:tcW w:w="960" w:type="dxa"/>
            <w:tcBorders>
              <w:top w:val="nil"/>
              <w:left w:val="nil"/>
              <w:bottom w:val="nil"/>
              <w:right w:val="nil"/>
            </w:tcBorders>
            <w:shd w:val="clear" w:color="auto" w:fill="auto"/>
            <w:noWrap/>
            <w:vAlign w:val="bottom"/>
            <w:hideMark/>
          </w:tcPr>
          <w:p w14:paraId="52C8952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2011</w:t>
            </w:r>
          </w:p>
        </w:tc>
        <w:tc>
          <w:tcPr>
            <w:tcW w:w="724" w:type="dxa"/>
            <w:tcBorders>
              <w:top w:val="nil"/>
              <w:left w:val="single" w:sz="4" w:space="0" w:color="auto"/>
              <w:bottom w:val="nil"/>
              <w:right w:val="nil"/>
            </w:tcBorders>
            <w:shd w:val="clear" w:color="auto" w:fill="auto"/>
            <w:noWrap/>
            <w:vAlign w:val="bottom"/>
            <w:hideMark/>
          </w:tcPr>
          <w:p w14:paraId="740E7C1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6ABB5B6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30AEE26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0313F2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3C5151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16A03A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BFC3F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1340" w:type="dxa"/>
            <w:tcBorders>
              <w:top w:val="nil"/>
              <w:left w:val="nil"/>
              <w:bottom w:val="nil"/>
              <w:right w:val="nil"/>
            </w:tcBorders>
            <w:shd w:val="clear" w:color="auto" w:fill="auto"/>
            <w:noWrap/>
            <w:vAlign w:val="bottom"/>
            <w:hideMark/>
          </w:tcPr>
          <w:p w14:paraId="370A119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2769</w:t>
            </w:r>
          </w:p>
        </w:tc>
      </w:tr>
      <w:tr w:rsidR="00044023" w:rsidRPr="00044023" w14:paraId="17DEFF2B" w14:textId="77777777" w:rsidTr="00044023">
        <w:trPr>
          <w:trHeight w:val="185"/>
        </w:trPr>
        <w:tc>
          <w:tcPr>
            <w:tcW w:w="960" w:type="dxa"/>
            <w:tcBorders>
              <w:top w:val="nil"/>
              <w:left w:val="nil"/>
              <w:bottom w:val="nil"/>
              <w:right w:val="nil"/>
            </w:tcBorders>
            <w:shd w:val="clear" w:color="auto" w:fill="auto"/>
            <w:noWrap/>
            <w:vAlign w:val="bottom"/>
            <w:hideMark/>
          </w:tcPr>
          <w:p w14:paraId="05635F0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2012</w:t>
            </w:r>
          </w:p>
        </w:tc>
        <w:tc>
          <w:tcPr>
            <w:tcW w:w="724" w:type="dxa"/>
            <w:tcBorders>
              <w:top w:val="nil"/>
              <w:left w:val="single" w:sz="4" w:space="0" w:color="auto"/>
              <w:bottom w:val="nil"/>
              <w:right w:val="nil"/>
            </w:tcBorders>
            <w:shd w:val="clear" w:color="auto" w:fill="auto"/>
            <w:noWrap/>
            <w:vAlign w:val="bottom"/>
            <w:hideMark/>
          </w:tcPr>
          <w:p w14:paraId="5041392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7139798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4F9433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99518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nil"/>
            </w:tcBorders>
            <w:shd w:val="clear" w:color="auto" w:fill="auto"/>
            <w:noWrap/>
            <w:vAlign w:val="bottom"/>
            <w:hideMark/>
          </w:tcPr>
          <w:p w14:paraId="57C6DBF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02F096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62D8DF8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1340" w:type="dxa"/>
            <w:tcBorders>
              <w:top w:val="nil"/>
              <w:left w:val="nil"/>
              <w:bottom w:val="nil"/>
              <w:right w:val="nil"/>
            </w:tcBorders>
            <w:shd w:val="clear" w:color="auto" w:fill="auto"/>
            <w:noWrap/>
            <w:vAlign w:val="bottom"/>
            <w:hideMark/>
          </w:tcPr>
          <w:p w14:paraId="3504E5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2773</w:t>
            </w:r>
          </w:p>
        </w:tc>
      </w:tr>
      <w:tr w:rsidR="00044023" w:rsidRPr="00044023" w14:paraId="1985D497" w14:textId="77777777" w:rsidTr="00044023">
        <w:trPr>
          <w:trHeight w:val="76"/>
        </w:trPr>
        <w:tc>
          <w:tcPr>
            <w:tcW w:w="960" w:type="dxa"/>
            <w:tcBorders>
              <w:top w:val="nil"/>
              <w:left w:val="nil"/>
              <w:bottom w:val="single" w:sz="4" w:space="0" w:color="auto"/>
              <w:right w:val="nil"/>
            </w:tcBorders>
            <w:shd w:val="clear" w:color="auto" w:fill="auto"/>
            <w:noWrap/>
            <w:vAlign w:val="bottom"/>
            <w:hideMark/>
          </w:tcPr>
          <w:p w14:paraId="60EFCFD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2013</w:t>
            </w:r>
          </w:p>
        </w:tc>
        <w:tc>
          <w:tcPr>
            <w:tcW w:w="724" w:type="dxa"/>
            <w:tcBorders>
              <w:top w:val="nil"/>
              <w:left w:val="single" w:sz="4" w:space="0" w:color="auto"/>
              <w:bottom w:val="single" w:sz="4" w:space="0" w:color="auto"/>
              <w:right w:val="nil"/>
            </w:tcBorders>
            <w:shd w:val="clear" w:color="auto" w:fill="auto"/>
            <w:noWrap/>
            <w:vAlign w:val="bottom"/>
            <w:hideMark/>
          </w:tcPr>
          <w:p w14:paraId="6B044B6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single" w:sz="4" w:space="0" w:color="auto"/>
              <w:right w:val="nil"/>
            </w:tcBorders>
            <w:shd w:val="clear" w:color="auto" w:fill="auto"/>
            <w:noWrap/>
            <w:vAlign w:val="bottom"/>
            <w:hideMark/>
          </w:tcPr>
          <w:p w14:paraId="1ECEB83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single" w:sz="4" w:space="0" w:color="auto"/>
              <w:right w:val="nil"/>
            </w:tcBorders>
            <w:shd w:val="clear" w:color="auto" w:fill="auto"/>
            <w:noWrap/>
            <w:vAlign w:val="bottom"/>
            <w:hideMark/>
          </w:tcPr>
          <w:p w14:paraId="7B7EF0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nil"/>
            </w:tcBorders>
            <w:shd w:val="clear" w:color="auto" w:fill="auto"/>
            <w:noWrap/>
            <w:vAlign w:val="bottom"/>
            <w:hideMark/>
          </w:tcPr>
          <w:p w14:paraId="4FEF611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nil"/>
            </w:tcBorders>
            <w:shd w:val="clear" w:color="auto" w:fill="auto"/>
            <w:noWrap/>
            <w:vAlign w:val="bottom"/>
            <w:hideMark/>
          </w:tcPr>
          <w:p w14:paraId="2D6D7B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single" w:sz="4" w:space="0" w:color="auto"/>
            </w:tcBorders>
            <w:shd w:val="clear" w:color="auto" w:fill="auto"/>
            <w:noWrap/>
            <w:vAlign w:val="bottom"/>
            <w:hideMark/>
          </w:tcPr>
          <w:p w14:paraId="5C2DF25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single" w:sz="4" w:space="0" w:color="auto"/>
              <w:right w:val="nil"/>
            </w:tcBorders>
            <w:shd w:val="clear" w:color="auto" w:fill="auto"/>
            <w:noWrap/>
            <w:vAlign w:val="bottom"/>
            <w:hideMark/>
          </w:tcPr>
          <w:p w14:paraId="69B6B55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1340" w:type="dxa"/>
            <w:tcBorders>
              <w:top w:val="nil"/>
              <w:left w:val="nil"/>
              <w:bottom w:val="single" w:sz="4" w:space="0" w:color="auto"/>
              <w:right w:val="nil"/>
            </w:tcBorders>
            <w:shd w:val="clear" w:color="auto" w:fill="auto"/>
            <w:noWrap/>
            <w:vAlign w:val="bottom"/>
            <w:hideMark/>
          </w:tcPr>
          <w:p w14:paraId="2156C9BB" w14:textId="77777777" w:rsidR="00044023" w:rsidRPr="00044023" w:rsidRDefault="00044023" w:rsidP="00044023">
            <w:pPr>
              <w:spacing w:after="0" w:line="240" w:lineRule="auto"/>
              <w:jc w:val="right"/>
              <w:rPr>
                <w:rFonts w:ascii="Calibri" w:eastAsia="Times New Roman" w:hAnsi="Calibri" w:cs="Times New Roman"/>
                <w:b/>
                <w:bCs/>
                <w:color w:val="000000"/>
                <w:sz w:val="20"/>
                <w:u w:val="single"/>
                <w:lang w:eastAsia="en-GB"/>
              </w:rPr>
            </w:pPr>
            <w:r w:rsidRPr="00044023">
              <w:rPr>
                <w:rFonts w:ascii="Calibri" w:eastAsia="Times New Roman" w:hAnsi="Calibri" w:cs="Times New Roman"/>
                <w:b/>
                <w:bCs/>
                <w:color w:val="000000"/>
                <w:sz w:val="20"/>
                <w:u w:val="single"/>
                <w:lang w:eastAsia="en-GB"/>
              </w:rPr>
              <w:t>2776</w:t>
            </w:r>
          </w:p>
        </w:tc>
      </w:tr>
      <w:tr w:rsidR="00044023" w:rsidRPr="00044023" w14:paraId="697164D8" w14:textId="77777777" w:rsidTr="00044023">
        <w:trPr>
          <w:trHeight w:val="288"/>
        </w:trPr>
        <w:tc>
          <w:tcPr>
            <w:tcW w:w="960" w:type="dxa"/>
            <w:tcBorders>
              <w:top w:val="nil"/>
              <w:left w:val="nil"/>
              <w:bottom w:val="nil"/>
              <w:right w:val="nil"/>
            </w:tcBorders>
            <w:shd w:val="clear" w:color="auto" w:fill="auto"/>
            <w:noWrap/>
            <w:vAlign w:val="bottom"/>
            <w:hideMark/>
          </w:tcPr>
          <w:p w14:paraId="3E396D89" w14:textId="77777777" w:rsidR="00044023" w:rsidRPr="00044023" w:rsidRDefault="00044023" w:rsidP="00044023">
            <w:pPr>
              <w:spacing w:after="0" w:line="240" w:lineRule="auto"/>
              <w:jc w:val="right"/>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Total</w:t>
            </w:r>
          </w:p>
        </w:tc>
        <w:tc>
          <w:tcPr>
            <w:tcW w:w="724" w:type="dxa"/>
            <w:tcBorders>
              <w:top w:val="nil"/>
              <w:left w:val="single" w:sz="4" w:space="0" w:color="auto"/>
              <w:bottom w:val="nil"/>
              <w:right w:val="nil"/>
            </w:tcBorders>
            <w:shd w:val="clear" w:color="auto" w:fill="auto"/>
            <w:noWrap/>
            <w:vAlign w:val="bottom"/>
            <w:hideMark/>
          </w:tcPr>
          <w:p w14:paraId="3C2C01F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816</w:t>
            </w:r>
          </w:p>
        </w:tc>
        <w:tc>
          <w:tcPr>
            <w:tcW w:w="724" w:type="dxa"/>
            <w:tcBorders>
              <w:top w:val="nil"/>
              <w:left w:val="nil"/>
              <w:bottom w:val="nil"/>
              <w:right w:val="nil"/>
            </w:tcBorders>
            <w:shd w:val="clear" w:color="auto" w:fill="auto"/>
            <w:noWrap/>
            <w:vAlign w:val="bottom"/>
            <w:hideMark/>
          </w:tcPr>
          <w:p w14:paraId="7F53B7A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654</w:t>
            </w:r>
          </w:p>
        </w:tc>
        <w:tc>
          <w:tcPr>
            <w:tcW w:w="723" w:type="dxa"/>
            <w:tcBorders>
              <w:top w:val="nil"/>
              <w:left w:val="nil"/>
              <w:bottom w:val="nil"/>
              <w:right w:val="nil"/>
            </w:tcBorders>
            <w:shd w:val="clear" w:color="auto" w:fill="auto"/>
            <w:noWrap/>
            <w:vAlign w:val="bottom"/>
            <w:hideMark/>
          </w:tcPr>
          <w:p w14:paraId="49BA06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388</w:t>
            </w:r>
          </w:p>
        </w:tc>
        <w:tc>
          <w:tcPr>
            <w:tcW w:w="723" w:type="dxa"/>
            <w:tcBorders>
              <w:top w:val="nil"/>
              <w:left w:val="nil"/>
              <w:bottom w:val="nil"/>
              <w:right w:val="nil"/>
            </w:tcBorders>
            <w:shd w:val="clear" w:color="auto" w:fill="auto"/>
            <w:noWrap/>
            <w:vAlign w:val="bottom"/>
            <w:hideMark/>
          </w:tcPr>
          <w:p w14:paraId="009DB49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313</w:t>
            </w:r>
          </w:p>
        </w:tc>
        <w:tc>
          <w:tcPr>
            <w:tcW w:w="723" w:type="dxa"/>
            <w:tcBorders>
              <w:top w:val="nil"/>
              <w:left w:val="nil"/>
              <w:bottom w:val="nil"/>
              <w:right w:val="nil"/>
            </w:tcBorders>
            <w:shd w:val="clear" w:color="auto" w:fill="auto"/>
            <w:noWrap/>
            <w:vAlign w:val="bottom"/>
            <w:hideMark/>
          </w:tcPr>
          <w:p w14:paraId="3D25FE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208</w:t>
            </w:r>
          </w:p>
        </w:tc>
        <w:tc>
          <w:tcPr>
            <w:tcW w:w="723" w:type="dxa"/>
            <w:tcBorders>
              <w:top w:val="nil"/>
              <w:left w:val="nil"/>
              <w:bottom w:val="nil"/>
              <w:right w:val="single" w:sz="4" w:space="0" w:color="auto"/>
            </w:tcBorders>
            <w:shd w:val="clear" w:color="auto" w:fill="auto"/>
            <w:noWrap/>
            <w:vAlign w:val="bottom"/>
            <w:hideMark/>
          </w:tcPr>
          <w:p w14:paraId="75918E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395</w:t>
            </w:r>
          </w:p>
        </w:tc>
        <w:tc>
          <w:tcPr>
            <w:tcW w:w="680" w:type="dxa"/>
            <w:tcBorders>
              <w:top w:val="nil"/>
              <w:left w:val="nil"/>
              <w:bottom w:val="nil"/>
              <w:right w:val="nil"/>
            </w:tcBorders>
            <w:shd w:val="clear" w:color="auto" w:fill="auto"/>
            <w:noWrap/>
            <w:vAlign w:val="bottom"/>
            <w:hideMark/>
          </w:tcPr>
          <w:p w14:paraId="6C072C48" w14:textId="77777777" w:rsidR="00044023" w:rsidRPr="00044023" w:rsidRDefault="00044023" w:rsidP="00044023">
            <w:pPr>
              <w:spacing w:after="0" w:line="240" w:lineRule="auto"/>
              <w:jc w:val="right"/>
              <w:rPr>
                <w:rFonts w:ascii="Calibri" w:eastAsia="Times New Roman" w:hAnsi="Calibri" w:cs="Times New Roman"/>
                <w:b/>
                <w:bCs/>
                <w:color w:val="000000"/>
                <w:sz w:val="20"/>
                <w:u w:val="single"/>
                <w:lang w:eastAsia="en-GB"/>
              </w:rPr>
            </w:pPr>
            <w:r w:rsidRPr="00044023">
              <w:rPr>
                <w:rFonts w:ascii="Calibri" w:eastAsia="Times New Roman" w:hAnsi="Calibri" w:cs="Times New Roman"/>
                <w:b/>
                <w:bCs/>
                <w:color w:val="000000"/>
                <w:sz w:val="20"/>
                <w:u w:val="single"/>
                <w:lang w:eastAsia="en-GB"/>
              </w:rPr>
              <w:t>2776</w:t>
            </w:r>
          </w:p>
        </w:tc>
        <w:tc>
          <w:tcPr>
            <w:tcW w:w="1340" w:type="dxa"/>
            <w:tcBorders>
              <w:top w:val="nil"/>
              <w:left w:val="nil"/>
              <w:bottom w:val="nil"/>
              <w:right w:val="nil"/>
            </w:tcBorders>
            <w:shd w:val="clear" w:color="auto" w:fill="auto"/>
            <w:noWrap/>
            <w:vAlign w:val="bottom"/>
            <w:hideMark/>
          </w:tcPr>
          <w:p w14:paraId="6A3AB652" w14:textId="77777777" w:rsidR="00044023" w:rsidRPr="00044023" w:rsidRDefault="00044023" w:rsidP="003400A5">
            <w:pPr>
              <w:keepNext/>
              <w:spacing w:after="0" w:line="240" w:lineRule="auto"/>
              <w:jc w:val="right"/>
              <w:rPr>
                <w:rFonts w:ascii="Calibri" w:eastAsia="Times New Roman" w:hAnsi="Calibri" w:cs="Times New Roman"/>
                <w:b/>
                <w:bCs/>
                <w:color w:val="000000"/>
                <w:sz w:val="20"/>
                <w:u w:val="single"/>
                <w:lang w:eastAsia="en-GB"/>
              </w:rPr>
            </w:pPr>
          </w:p>
        </w:tc>
      </w:tr>
    </w:tbl>
    <w:p w14:paraId="6E6B1483" w14:textId="77777777" w:rsidR="0046718C" w:rsidRDefault="0046718C" w:rsidP="0046718C">
      <w:pPr>
        <w:spacing w:line="480" w:lineRule="auto"/>
        <w:jc w:val="center"/>
        <w:rPr>
          <w:b/>
        </w:rPr>
      </w:pPr>
    </w:p>
    <w:p w14:paraId="78ADC5DE" w14:textId="740CAB62" w:rsidR="003400A5" w:rsidRPr="0046718C" w:rsidRDefault="003400A5" w:rsidP="0046718C">
      <w:pPr>
        <w:spacing w:line="480" w:lineRule="auto"/>
        <w:jc w:val="center"/>
        <w:rPr>
          <w:b/>
        </w:rPr>
      </w:pPr>
      <w:r w:rsidRPr="0046718C">
        <w:rPr>
          <w:b/>
        </w:rPr>
        <w:t xml:space="preserve">Table </w:t>
      </w:r>
      <w:r w:rsidR="002075EB" w:rsidRPr="0046718C">
        <w:rPr>
          <w:b/>
        </w:rPr>
        <w:fldChar w:fldCharType="begin"/>
      </w:r>
      <w:r w:rsidR="002075EB" w:rsidRPr="0046718C">
        <w:rPr>
          <w:b/>
        </w:rPr>
        <w:instrText xml:space="preserve"> SEQ Table \* ARABIC </w:instrText>
      </w:r>
      <w:r w:rsidR="002075EB" w:rsidRPr="0046718C">
        <w:rPr>
          <w:b/>
        </w:rPr>
        <w:fldChar w:fldCharType="separate"/>
      </w:r>
      <w:r w:rsidR="00D45E71">
        <w:rPr>
          <w:b/>
          <w:noProof/>
        </w:rPr>
        <w:t>1</w:t>
      </w:r>
      <w:r w:rsidR="002075EB" w:rsidRPr="0046718C">
        <w:rPr>
          <w:b/>
        </w:rPr>
        <w:fldChar w:fldCharType="end"/>
      </w:r>
      <w:r w:rsidRPr="0046718C">
        <w:rPr>
          <w:b/>
        </w:rPr>
        <w:t xml:space="preserve"> Model estimates of numbers of Troubles-attributable deaths in males in Northern Ireland by year and age group</w:t>
      </w:r>
    </w:p>
    <w:p w14:paraId="7B8E3914" w14:textId="21F447E5" w:rsidR="00044023" w:rsidRDefault="00044023">
      <w:r>
        <w:br w:type="page"/>
      </w:r>
    </w:p>
    <w:p w14:paraId="18A4B86F" w14:textId="624C67B6" w:rsidR="00F1537E" w:rsidRPr="00C94CE9" w:rsidRDefault="00F1537E" w:rsidP="000B02C5">
      <w:pPr>
        <w:pStyle w:val="Heading2"/>
        <w:spacing w:line="480" w:lineRule="auto"/>
        <w:rPr>
          <w:color w:val="auto"/>
        </w:rPr>
      </w:pPr>
      <w:r w:rsidRPr="00C94CE9">
        <w:rPr>
          <w:color w:val="auto"/>
        </w:rPr>
        <w:lastRenderedPageBreak/>
        <w:t xml:space="preserve">Discussion </w:t>
      </w:r>
    </w:p>
    <w:p w14:paraId="6A8BB0EF" w14:textId="56175F17" w:rsidR="001B7B4E" w:rsidRPr="000B02C5" w:rsidRDefault="001B7B4E" w:rsidP="000B02C5">
      <w:pPr>
        <w:pStyle w:val="Heading3"/>
        <w:spacing w:line="480" w:lineRule="auto"/>
        <w:rPr>
          <w:color w:val="auto"/>
        </w:rPr>
      </w:pPr>
      <w:r w:rsidRPr="000B02C5">
        <w:rPr>
          <w:color w:val="auto"/>
        </w:rPr>
        <w:t>Comparison of mortality estimates</w:t>
      </w:r>
    </w:p>
    <w:p w14:paraId="5C036B83" w14:textId="65697144" w:rsidR="006E3FB2" w:rsidRPr="000B02C5" w:rsidRDefault="00F119C2" w:rsidP="000B02C5">
      <w:pPr>
        <w:spacing w:line="480" w:lineRule="auto"/>
      </w:pPr>
      <w:r w:rsidRPr="000B02C5">
        <w:fldChar w:fldCharType="begin" w:fldLock="1"/>
      </w:r>
      <w:r w:rsidRPr="000B02C5">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B02C5">
        <w:fldChar w:fldCharType="separate"/>
      </w:r>
      <w:r w:rsidRPr="000B02C5">
        <w:rPr>
          <w:noProof/>
        </w:rPr>
        <w:t>(Smyth, 1998)</w:t>
      </w:r>
      <w:r w:rsidRPr="000B02C5">
        <w:fldChar w:fldCharType="end"/>
      </w:r>
      <w:r w:rsidRPr="000B02C5">
        <w:t xml:space="preserve"> estimated a total of 3598 deaths were attributed killings in the conflict between 1969 and 1998</w:t>
      </w:r>
      <w:r w:rsidR="000D3EC9" w:rsidRPr="000B02C5">
        <w:t>; this compares with 26</w:t>
      </w:r>
      <w:r w:rsidR="006E3FB2" w:rsidRPr="000B02C5">
        <w:t>61</w:t>
      </w:r>
      <w:r w:rsidR="000D3EC9" w:rsidRPr="000B02C5">
        <w:t xml:space="preserve"> estimated in our model between 1969 and 1998 in younger adult males in Northern Ireland</w:t>
      </w:r>
      <w:r w:rsidR="0041727A" w:rsidRPr="000B02C5">
        <w:t xml:space="preserve"> only</w:t>
      </w:r>
      <w:r w:rsidRPr="000B02C5">
        <w:t xml:space="preserve">. </w:t>
      </w:r>
      <w:r w:rsidR="008D1A01" w:rsidRPr="000B02C5">
        <w:t xml:space="preserve">Other total mortality estimates for the Troubles tend to be similar, with </w:t>
      </w:r>
      <w:r w:rsidR="008D1A01" w:rsidRPr="000B02C5">
        <w:fldChar w:fldCharType="begin" w:fldLock="1"/>
      </w:r>
      <w:r w:rsidR="008D1A01" w:rsidRPr="000B02C5">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"(McDowell, 2008)" }, "properties" : { "noteIndex" : 0 }, "schema" : "https://github.com/citation-style-language/schema/raw/master/csl-citation.json" }</w:instrText>
      </w:r>
      <w:r w:rsidR="008D1A01" w:rsidRPr="000B02C5">
        <w:fldChar w:fldCharType="separate"/>
      </w:r>
      <w:r w:rsidR="008D1A01" w:rsidRPr="000B02C5">
        <w:rPr>
          <w:noProof/>
        </w:rPr>
        <w:t>(McDowell, 2008)</w:t>
      </w:r>
      <w:r w:rsidR="008D1A01" w:rsidRPr="000B02C5">
        <w:fldChar w:fldCharType="end"/>
      </w:r>
      <w:r w:rsidR="008D1A01" w:rsidRPr="000B02C5">
        <w:t xml:space="preserve"> estimating slightly under 3700 deaths, and </w:t>
      </w:r>
      <w:r w:rsidR="008D1A01" w:rsidRPr="000B02C5">
        <w:fldChar w:fldCharType="begin" w:fldLock="1"/>
      </w:r>
      <w:r w:rsidR="008D1A01" w:rsidRPr="000B02C5">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"(Curran, 2001)" }, "properties" : { "noteIndex" : 0 }, "schema" : "https://github.com/citation-style-language/schema/raw/master/csl-citation.json" }</w:instrText>
      </w:r>
      <w:r w:rsidR="008D1A01" w:rsidRPr="000B02C5">
        <w:fldChar w:fldCharType="separate"/>
      </w:r>
      <w:r w:rsidR="008D1A01" w:rsidRPr="000B02C5">
        <w:rPr>
          <w:noProof/>
        </w:rPr>
        <w:t>(Curran, 2001)</w:t>
      </w:r>
      <w:r w:rsidR="008D1A01" w:rsidRPr="000B02C5">
        <w:fldChar w:fldCharType="end"/>
      </w:r>
      <w:r w:rsidR="008D1A01" w:rsidRPr="000B02C5">
        <w:t xml:space="preserve"> estimating 3740 additional deaths between 1969 and 1999 (compared with our estimate of 2675 between 1972 and 1999).</w:t>
      </w:r>
      <w:r w:rsidR="00146D0F">
        <w:t xml:space="preserve"> </w:t>
      </w:r>
      <w:r w:rsidR="000D3EC9" w:rsidRPr="000B02C5">
        <w:fldChar w:fldCharType="begin" w:fldLock="1"/>
      </w:r>
      <w:r w:rsidR="000D3EC9" w:rsidRPr="000B02C5">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000D3EC9" w:rsidRPr="000B02C5">
        <w:fldChar w:fldCharType="separate"/>
      </w:r>
      <w:r w:rsidR="000D3EC9" w:rsidRPr="000B02C5">
        <w:rPr>
          <w:noProof/>
        </w:rPr>
        <w:t>(Smyth, 1998)</w:t>
      </w:r>
      <w:r w:rsidR="000D3EC9" w:rsidRPr="000B02C5">
        <w:fldChar w:fldCharType="end"/>
      </w:r>
      <w:r w:rsidR="000D3EC9" w:rsidRPr="000B02C5">
        <w:t xml:space="preserve"> </w:t>
      </w:r>
      <w:r w:rsidR="00146D0F">
        <w:t xml:space="preserve">also </w:t>
      </w:r>
      <w:r w:rsidR="000D3EC9" w:rsidRPr="000B02C5">
        <w:t xml:space="preserve">found that a disproportionate share of deaths occurred in young adults, with a quarter occurring in people aged 18-23 years, and attributable deaths then falling at older ages. </w:t>
      </w:r>
      <w:r w:rsidR="009140E4">
        <w:t>We found</w:t>
      </w:r>
      <w:r w:rsidR="000D3EC9" w:rsidRPr="000B02C5">
        <w:t xml:space="preserve"> a qualitatively similar pattern of mortality burden by age, though </w:t>
      </w:r>
      <w:r w:rsidR="009140E4">
        <w:t xml:space="preserve">with </w:t>
      </w:r>
      <w:r w:rsidR="000D3EC9" w:rsidRPr="000B02C5">
        <w:t xml:space="preserve">an even greater share in 18-23 age group, with 1053 deaths out of 2776, or 38% of all deaths, estimated. </w:t>
      </w:r>
    </w:p>
    <w:p w14:paraId="628C4639" w14:textId="065E32E1" w:rsidR="00045603" w:rsidRPr="000B02C5" w:rsidRDefault="006E3FB2" w:rsidP="000B02C5">
      <w:pPr>
        <w:spacing w:line="480" w:lineRule="auto"/>
      </w:pPr>
      <w:r w:rsidRPr="000B02C5">
        <w:t>Our model</w:t>
      </w:r>
      <w:r w:rsidR="009140E4">
        <w:t>,</w:t>
      </w:r>
      <w:r w:rsidRPr="000B02C5">
        <w:t xml:space="preserve"> based only on all-cause mortality data, </w:t>
      </w:r>
      <w:r w:rsidR="00045603" w:rsidRPr="000B02C5">
        <w:t xml:space="preserve">estimates around three quarters of the deaths that actually occurred, suggesting that the </w:t>
      </w:r>
      <w:r w:rsidR="009140E4">
        <w:t xml:space="preserve">key </w:t>
      </w:r>
      <w:r w:rsidR="00045603" w:rsidRPr="000B02C5">
        <w:t xml:space="preserve">modelling assumption - an initiation event leading to the sudden onset of a conflict whose intensity only slowly decays over many years – captures something of the essence of what occurred in Northern Ireland. </w:t>
      </w:r>
    </w:p>
    <w:p w14:paraId="3B8E2F0F" w14:textId="3477AAD9" w:rsidR="006E3FB2" w:rsidRDefault="00045603" w:rsidP="000B02C5">
      <w:pPr>
        <w:spacing w:line="480" w:lineRule="auto"/>
      </w:pPr>
      <w:r w:rsidRPr="000B02C5">
        <w:t xml:space="preserve">There may be </w:t>
      </w:r>
      <w:r w:rsidR="00EB4CAE">
        <w:t xml:space="preserve">a number of </w:t>
      </w:r>
      <w:r w:rsidRPr="000B02C5">
        <w:t xml:space="preserve">reasons why our estimates are below </w:t>
      </w:r>
      <w:r w:rsidR="00563F5E" w:rsidRPr="000B02C5">
        <w:t>death counts directly attributed to political violence</w:t>
      </w:r>
      <w:r w:rsidRPr="000B02C5">
        <w:t xml:space="preserve">, in addition to our use of a more restrictive demographic group. Firstly, we did not explicitly model to include the particularly high spike of deaths in 1973. Secondly, adult males </w:t>
      </w:r>
      <w:r w:rsidR="001E1856" w:rsidRPr="000B02C5">
        <w:t>experience a</w:t>
      </w:r>
      <w:r w:rsidR="0041727A" w:rsidRPr="000B02C5">
        <w:t xml:space="preserve">n </w:t>
      </w:r>
      <w:r w:rsidR="001E1856" w:rsidRPr="000B02C5">
        <w:t>increase mortality once they reach adulthood, and young adult male mortality displacement effect</w:t>
      </w:r>
      <w:r w:rsidR="0041727A" w:rsidRPr="000B02C5">
        <w:t>s</w:t>
      </w:r>
      <w:r w:rsidR="001E1856" w:rsidRPr="000B02C5">
        <w:t xml:space="preserve"> </w:t>
      </w:r>
      <w:r w:rsidR="0041727A" w:rsidRPr="000B02C5">
        <w:t xml:space="preserve">may </w:t>
      </w:r>
      <w:r w:rsidR="001E1856" w:rsidRPr="000B02C5">
        <w:t>occurred in Northern Ireland after the Troubles</w:t>
      </w:r>
      <w:r w:rsidR="0041727A" w:rsidRPr="000B02C5">
        <w:t xml:space="preserve"> began</w:t>
      </w:r>
      <w:r w:rsidR="001E1856" w:rsidRPr="000B02C5">
        <w:t>. For example</w:t>
      </w:r>
      <w:r w:rsidR="005223FE" w:rsidRPr="000B02C5">
        <w:t xml:space="preserve"> rates of homicide risk and suicide risk tend to be inversely correlated, and that both disproportionately affect younger adult males. </w:t>
      </w:r>
      <w:r w:rsidR="005223FE" w:rsidRPr="000B02C5">
        <w:fldChar w:fldCharType="begin" w:fldLock="1"/>
      </w:r>
      <w:r w:rsidR="00C308A5" w:rsidRPr="000B02C5">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"id" : "ITEM-3",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"ITEM-3",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"(Curran, 2001; Durkheim, 1951; Lester, 2002)", "plainTextFormattedCitation" : "(Curran, 2001; Durkheim, 1951; Lester, 2002)", "previouslyFormattedCitation" : "(Curran, 2001; Durkheim, 1951; Lester, 2002)" }, "properties" : { "noteIndex" : 0 }, "schema" : "https://github.com/citation-style-language/schema/raw/master/csl-citation.json" }</w:instrText>
      </w:r>
      <w:r w:rsidR="005223FE" w:rsidRPr="000B02C5">
        <w:fldChar w:fldCharType="separate"/>
      </w:r>
      <w:r w:rsidR="005223FE" w:rsidRPr="000B02C5">
        <w:rPr>
          <w:noProof/>
        </w:rPr>
        <w:t>(Curran, 2001; Durkheim, 1951; Lester, 2002)</w:t>
      </w:r>
      <w:r w:rsidR="005223FE" w:rsidRPr="000B02C5">
        <w:fldChar w:fldCharType="end"/>
      </w:r>
      <w:r w:rsidR="005223FE" w:rsidRPr="000B02C5">
        <w:t xml:space="preserve"> </w:t>
      </w:r>
      <w:r w:rsidR="0041727A" w:rsidRPr="000B02C5">
        <w:t xml:space="preserve">It </w:t>
      </w:r>
      <w:r w:rsidR="005223FE" w:rsidRPr="000B02C5">
        <w:t>may be that the high rates of ‘bonding capital’ within Northern Irish communities, though responsible for the maintenance of sectarian conflict, w</w:t>
      </w:r>
      <w:r w:rsidR="002D4A9D" w:rsidRPr="000B02C5">
        <w:t>ere</w:t>
      </w:r>
      <w:r w:rsidR="005223FE" w:rsidRPr="000B02C5">
        <w:t xml:space="preserve"> also protective against some other forms of mortality risk, such as alcohol and drug-related deaths, that otherwise would have claimed more young adult </w:t>
      </w:r>
      <w:r w:rsidR="005223FE" w:rsidRPr="000B02C5">
        <w:lastRenderedPageBreak/>
        <w:t xml:space="preserve">males. </w:t>
      </w:r>
      <w:r w:rsidR="0041727A" w:rsidRPr="000B02C5">
        <w:fldChar w:fldCharType="begin" w:fldLock="1"/>
      </w:r>
      <w:r w:rsidR="0041727A" w:rsidRPr="000B02C5">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"(Leonard, 2004)", "plainTextFormattedCitation" : "(Leonard, 2004)", "previouslyFormattedCitation" : "(Leonard, 2004)" }, "properties" : { "noteIndex" : 0 }, "schema" : "https://github.com/citation-style-language/schema/raw/master/csl-citation.json" }</w:instrText>
      </w:r>
      <w:r w:rsidR="0041727A" w:rsidRPr="000B02C5">
        <w:fldChar w:fldCharType="separate"/>
      </w:r>
      <w:r w:rsidR="0041727A" w:rsidRPr="000B02C5">
        <w:rPr>
          <w:noProof/>
        </w:rPr>
        <w:t>(Leonard, 2004)</w:t>
      </w:r>
      <w:r w:rsidR="0041727A" w:rsidRPr="000B02C5">
        <w:fldChar w:fldCharType="end"/>
      </w:r>
      <w:r w:rsidR="0041727A" w:rsidRPr="000B02C5">
        <w:t xml:space="preserve"> </w:t>
      </w:r>
      <w:r w:rsidR="005223FE" w:rsidRPr="000B02C5">
        <w:t>In the counterfactual scenario, therefore, it may well have been that</w:t>
      </w:r>
      <w:r w:rsidR="002D4A9D" w:rsidRPr="000B02C5">
        <w:t xml:space="preserve"> some of</w:t>
      </w:r>
      <w:r w:rsidR="005223FE" w:rsidRPr="000B02C5">
        <w:t xml:space="preserve"> those who did not die of sectarian violence instead died of some of these other causes</w:t>
      </w:r>
      <w:r w:rsidR="002D4A9D" w:rsidRPr="000B02C5">
        <w:t>, and so the net deaths ‘caused’ by the conflict may be less than the number of people who died of conflict-related violence</w:t>
      </w:r>
      <w:r w:rsidR="005223FE" w:rsidRPr="000B02C5">
        <w:t xml:space="preserve">. </w:t>
      </w:r>
      <w:r w:rsidR="00EB4CAE">
        <w:t>Another specific example of this may be that fewer people died of vehicle-related deaths if, as expected, travel was more restricted during the peak of the Troubles due to increased police and military presence; exploration of aggregate trends in road traffic deaths may therefore be useful to quantify the size of any such effect on deaths in the affected age groups.</w:t>
      </w:r>
    </w:p>
    <w:p w14:paraId="39EFCC15" w14:textId="0E827E27" w:rsidR="00EB4CAE" w:rsidRDefault="00EB4CAE" w:rsidP="000B02C5">
      <w:pPr>
        <w:spacing w:line="480" w:lineRule="auto"/>
      </w:pPr>
      <w:r>
        <w:t>Thirdly, the Troubles are likely to have led to some net emigration of those most-affected groups, and the</w:t>
      </w:r>
      <w:r w:rsidR="00273CFC">
        <w:t xml:space="preserve"> model may not have been sufficient in accounting for emigration as a ‘competing risk’. Finally, not every death that occurred in a given year may have been attributed accurately to the year in which it occurred, especially if bodies were not found for many years if ever. Again, the effect of adjusting for these factors have not been explored, and further research is encouraged to do so.</w:t>
      </w:r>
    </w:p>
    <w:p w14:paraId="15F34522" w14:textId="77777777" w:rsidR="00681EE6" w:rsidRDefault="00273CFC" w:rsidP="000B02C5">
      <w:pPr>
        <w:spacing w:line="480" w:lineRule="auto"/>
      </w:pPr>
      <w:r>
        <w:t>One of the aims of this research was to estimate a counter-factual scenario in which the Troubles had not occurred; this was shown in the middle row of figure 5. This counterfactual was model dependent, and relied only on data from Northern Ireland. An alternative approach would be to aim to construct a ‘counterfactual Northern Ireland’ through an appropriately weighted average of mortality trend data from a range of other countries</w:t>
      </w:r>
      <w:r w:rsidR="00681EE6">
        <w:t xml:space="preserve"> identified as otherwise similar to Northern Ireland for the period of comparison, an approach described as the Synthetic Control Method; </w:t>
      </w:r>
      <w:r w:rsidR="00681EE6">
        <w:fldChar w:fldCharType="begin" w:fldLock="1"/>
      </w:r>
      <w:r w:rsidR="00681EE6">
        <w:instrText>ADDIN CSL_CITATION { "citationItems" : [ { "id" : "ITEM-1", "itemData" : { "DOI" : "10.1111/ajps.12116", "ISSN" : "00925853", "author" : [ { "dropping-particle" : "", "family" : "Abadie", "given" : "Alberto", "non-dropping-particle" : "", "parse-names" : false, "suffix" : "" }, { "dropping-particle" : "", "family" : "Diamond", "given" : "Alexis", "non-dropping-particle" : "", "parse-names" : false, "suffix" : "" }, { "dropping-particle" : "", "family" : "Hainmueller", "given" : "Jens", "non-dropping-particle" : "", "parse-names" : false, "suffix" : "" } ], "container-title" : "American Journal of Political Science", "id" : "ITEM-1", "issue" : "2", "issued" : { "date-parts" : [ [ "2015", "2" ] ] }, "page" : "495-510", "title" : "Comparative Politics and the Synthetic Control Method", "type" : "article-journal", "volume" : "59" }, "uris" : [ "http://www.mendeley.com/documents/?uuid=89c59ca4-4059-4b20-acfe-fb422bbf65d6" ] } ], "mendeley" : { "formattedCitation" : "(Abadie, Diamond, &amp; Hainmueller, 2015)", "plainTextFormattedCitation" : "(Abadie, Diamond, &amp; Hainmueller, 2015)" }, "properties" : { "noteIndex" : 0 }, "schema" : "https://github.com/citation-style-language/schema/raw/master/csl-citation.json" }</w:instrText>
      </w:r>
      <w:r w:rsidR="00681EE6">
        <w:fldChar w:fldCharType="separate"/>
      </w:r>
      <w:r w:rsidR="00681EE6" w:rsidRPr="00681EE6">
        <w:rPr>
          <w:noProof/>
        </w:rPr>
        <w:t>(Abadie, Diamond, &amp; Hainmueller, 2015)</w:t>
      </w:r>
      <w:r w:rsidR="00681EE6">
        <w:fldChar w:fldCharType="end"/>
      </w:r>
      <w:r w:rsidR="00681EE6">
        <w:t xml:space="preserve"> once again further research is welcome which uses this and other approaches to counterfactual estimation. </w:t>
      </w:r>
    </w:p>
    <w:p w14:paraId="5078E6F1" w14:textId="37084E8B" w:rsidR="00681EE6" w:rsidRPr="000B02C5" w:rsidRDefault="00681EE6" w:rsidP="000B02C5">
      <w:pPr>
        <w:spacing w:line="480" w:lineRule="auto"/>
      </w:pPr>
      <w:r>
        <w:t xml:space="preserve">It has been suggested that the 1981 Irish Hunger Strike in the Maze prison, in which ten prisoners starved themselves to death, may have led to a renewed increase in violence; this could be tested by comparing the fit of a model specification assuming two distinct spikes in death risk, with the latter in 1981 or 1982, against the specification shown here, and again further research to explore this </w:t>
      </w:r>
      <w:r>
        <w:lastRenderedPageBreak/>
        <w:t>hypothesis is welcome. Finally, the role of cohort effects in mortality risk attributable to conflict has not been explored, and further research could do so.</w:t>
      </w:r>
    </w:p>
    <w:p w14:paraId="59A7CEE5" w14:textId="15B9035B" w:rsidR="001B7B4E" w:rsidRPr="000B02C5" w:rsidRDefault="001B7B4E" w:rsidP="000B02C5">
      <w:pPr>
        <w:pStyle w:val="Heading3"/>
        <w:spacing w:line="480" w:lineRule="auto"/>
        <w:rPr>
          <w:color w:val="auto"/>
        </w:rPr>
      </w:pPr>
      <w:r w:rsidRPr="000B02C5">
        <w:rPr>
          <w:color w:val="auto"/>
        </w:rPr>
        <w:t>Methodological considerations and implications</w:t>
      </w:r>
    </w:p>
    <w:p w14:paraId="12EFC59C" w14:textId="4795187B" w:rsidR="005223FE" w:rsidRPr="000B02C5" w:rsidRDefault="0041727A" w:rsidP="000B02C5">
      <w:pPr>
        <w:spacing w:line="480" w:lineRule="auto"/>
      </w:pPr>
      <w:r w:rsidRPr="000B02C5">
        <w:t xml:space="preserve">This </w:t>
      </w:r>
      <w:r w:rsidR="005223FE" w:rsidRPr="000B02C5">
        <w:t xml:space="preserve">research originated through the use of Lexis surface visualisation to compare mortality trends in Scotland against neighbouring populations. </w:t>
      </w:r>
      <w:r w:rsidR="009140E4">
        <w:fldChar w:fldCharType="begin" w:fldLock="1"/>
      </w:r>
      <w:r w:rsidR="00044023">
        <w:instrText>ADDIN CSL_CITATION { "citationItems" : [ { "id" : "ITEM-1", "itemData" : { "DOI" : "10.1136/jech-2016-207379", "ISSN" : "0143-005X", "author" : [ { "dropping-particle" : "", "family" : "Minton", "given" : "Jon", "non-dropping-particle" : "", "parse-names" : false, "suffix" : "" }, { "dropping-particle" : "", "family" : "Shaw", "given" : "Richard", "non-dropping-particle" : "", "parse-names" : false, "suffix" : "" }, { "dropping-particle" : "", "family" : "Green", "given" : "Mark A", "non-dropping-particle" : "", "parse-names" : false, "suffix" : "" }, { "dropping-particle" : "", "family" : "Vanderbloemen", "given" : "Laura", "non-dropping-particle" : "", "parse-names" : false, "suffix" : "" }, { "dropping-particle" : "", "family" : "Popham", "given" : "Frank", "non-dropping-particle" : "", "parse-names" : false, "suffix" : "" }, { "dropping-particle" : "", "family" : "McCartney", "given" : "Gerry", "non-dropping-particle" : "", "parse-names" : false, "suffix" : "" } ], "container-title" : "Journal of Epidemiology and Community Health", "id" : "ITEM-1", "issue" : "5", "issued" : { "date-parts" : [ [ "2017", "5" ] ] }, "page" : "461-467", "title" : "Visualising and quantifying 'excess deaths' in Scotland compared with the rest of the UK and the rest of Western Europe", "type" : "article-journal", "volume" : "71" }, "uris" : [ "http://www.mendeley.com/documents/?uuid=17a1df2d-baf4-4bf7-b34d-48a070dd75e5" ] } ], "mendeley" : { "formattedCitation" : "(Jon Minton et al., 2017)", "manualFormatting" : "(Minton et al., 2017)", "plainTextFormattedCitation" : "(Jon Minton et al., 2017)", "previouslyFormattedCitation" : "(Jon Minton et al., 2017)" }, "properties" : { "noteIndex" : 0 }, "schema" : "https://github.com/citation-style-language/schema/raw/master/csl-citation.json" }</w:instrText>
      </w:r>
      <w:r w:rsidR="009140E4">
        <w:fldChar w:fldCharType="separate"/>
      </w:r>
      <w:r w:rsidR="00044023">
        <w:rPr>
          <w:noProof/>
        </w:rPr>
        <w:t>(</w:t>
      </w:r>
      <w:r w:rsidR="009140E4" w:rsidRPr="009140E4">
        <w:rPr>
          <w:noProof/>
        </w:rPr>
        <w:t>Minton et al., 2017)</w:t>
      </w:r>
      <w:r w:rsidR="009140E4">
        <w:fldChar w:fldCharType="end"/>
      </w:r>
      <w:r w:rsidR="00A96270">
        <w:t xml:space="preserve"> </w:t>
      </w:r>
      <w:r w:rsidR="005223FE" w:rsidRPr="000B02C5">
        <w:t xml:space="preserve">Scotland was compared firstly against the rest of the UK, then against England and Wales, and Northern Ireland separately. </w:t>
      </w:r>
      <w:r w:rsidR="008D1A01" w:rsidRPr="000B02C5">
        <w:t>In this last comparison a</w:t>
      </w:r>
      <w:r w:rsidR="00725DD5" w:rsidRPr="000B02C5">
        <w:t xml:space="preserve"> distinct visual ‘signal’ in Northern Irish male mortality was </w:t>
      </w:r>
      <w:r w:rsidR="008D1A01" w:rsidRPr="000B02C5">
        <w:t xml:space="preserve">identified </w:t>
      </w:r>
      <w:r w:rsidR="00725DD5" w:rsidRPr="000B02C5">
        <w:t xml:space="preserve">after 1972 mortality risks in </w:t>
      </w:r>
      <w:r w:rsidR="008D1A01" w:rsidRPr="000B02C5">
        <w:t xml:space="preserve">in that Scottish young adult male mortality rates, which generally lag Northern Ireland’s, suddenly looked better in comparison, whereas female rates did not. Northern Irish </w:t>
      </w:r>
      <w:r w:rsidR="00A96270">
        <w:t xml:space="preserve">young adult </w:t>
      </w:r>
      <w:r w:rsidR="008D1A01" w:rsidRPr="000B02C5">
        <w:t xml:space="preserve">male mortality was </w:t>
      </w:r>
      <w:r w:rsidR="00A96270">
        <w:t xml:space="preserve">worse during the peak of the Troubles </w:t>
      </w:r>
      <w:r w:rsidR="008D1A01" w:rsidRPr="000B02C5">
        <w:t>worse than in Eastern Europe</w:t>
      </w:r>
      <w:r w:rsidR="00725DD5" w:rsidRPr="000B02C5">
        <w:t xml:space="preserve">. The incidental and accidental origins of this paper therefore highlight the value to us of the data visualisation approaches employed, and of what Robert K Merton called ‘theories of the middle range’, of </w:t>
      </w:r>
      <w:r w:rsidR="00A96270">
        <w:t>allowing</w:t>
      </w:r>
      <w:r w:rsidR="00725DD5" w:rsidRPr="000B02C5">
        <w:t xml:space="preserve"> social hypotheses </w:t>
      </w:r>
      <w:r w:rsidR="00A96270">
        <w:t xml:space="preserve">to </w:t>
      </w:r>
      <w:r w:rsidR="002D4A9D" w:rsidRPr="000B02C5">
        <w:t>‘</w:t>
      </w:r>
      <w:r w:rsidR="00725DD5" w:rsidRPr="000B02C5">
        <w:t xml:space="preserve">emerge </w:t>
      </w:r>
      <w:r w:rsidR="002D4A9D" w:rsidRPr="000B02C5">
        <w:t xml:space="preserve">upwards’, </w:t>
      </w:r>
      <w:r w:rsidR="00725DD5" w:rsidRPr="000B02C5">
        <w:t xml:space="preserve">inductively or </w:t>
      </w:r>
      <w:proofErr w:type="spellStart"/>
      <w:r w:rsidR="00725DD5" w:rsidRPr="000B02C5">
        <w:t>abductively</w:t>
      </w:r>
      <w:proofErr w:type="spellEnd"/>
      <w:r w:rsidR="00725DD5" w:rsidRPr="000B02C5">
        <w:t xml:space="preserve"> from data exploration, rather than </w:t>
      </w:r>
      <w:r w:rsidR="002D4A9D" w:rsidRPr="000B02C5">
        <w:t xml:space="preserve">simply </w:t>
      </w:r>
      <w:r w:rsidR="00A96270">
        <w:t xml:space="preserve">being </w:t>
      </w:r>
      <w:r w:rsidR="002D4A9D" w:rsidRPr="000B02C5">
        <w:t xml:space="preserve">‘applied downwards’, beginning in canonical social texts, then operationalised and empirically tested in a </w:t>
      </w:r>
      <w:proofErr w:type="spellStart"/>
      <w:r w:rsidR="002D4A9D" w:rsidRPr="000B02C5">
        <w:t>hypothetico</w:t>
      </w:r>
      <w:proofErr w:type="spellEnd"/>
      <w:r w:rsidR="002D4A9D" w:rsidRPr="000B02C5">
        <w:t xml:space="preserve">-deductive fashion. </w:t>
      </w:r>
      <w:r w:rsidR="00A96270">
        <w:fldChar w:fldCharType="begin" w:fldLock="1"/>
      </w:r>
      <w:r w:rsidR="00146D0F">
        <w:instrText>ADDIN CSL_CITATION { "citationItems" : [ { "id" : "ITEM-1", "itemData" : { "ISBN" : "0-02-921130-1", "author" : [ { "dropping-particle" : "", "family" : "Merton", "given" : "R", "non-dropping-particle" : "", "parse-names" : false, "suffix" : "" } ], "id" : "ITEM-1", "issued" : { "date-parts" : [ [ "1968" ] ] }, "publisher" : "Free Press", "publisher-place" : "New York", "title" : "Social Theory and Social Structure", "type" : "book" }, "uris" : [ "http://www.mendeley.com/documents/?uuid=076ec491-90cb-4c00-b112-9faf78d53270" ] }, { "id" : "ITEM-2", "itemData" : { "ISBN" : "0374199639", "ISSN" : "00178136", "abstract" : "\"The Civil War made America a modern nation, unleashing forces of industrialism and expansion that had been kept in check for decades by the quarrel over slavery. But the war also discredited the ideas and beliefs of the era that preceded it. The Civil War swept away the slave civilization of the South, but almost the whole intellectual culture of the North went with it. It took nearly half a century for Americans to develop a set of ideas, a way of thinking, that would help them cope with the conditions of modern life. That struggle is the subject of this book.\" \"The story told in The Metaphysical Club runs through the lives of Oliver Wendell Holmes, Jr., a Civil War hero who became the dominant legal thinker of his time; his best friend as a young man, William James, son of an eccentric moral philosopher, brother of a great novelist, and the father of modern psychology in America; and the brilliant and troubled logician, scientist, and founder of semiotics, Charles Sanders Peirce. Together they belonged to an informal discussion group that met in Cambridge, Massachusetts, in 1872 and called itself the Metaphysical Club. The club was probably in existence for only nine months, and no records were kept. The one thing we know that came out of it was an idea - an idea about ideas, about the role beliefs play in people's lives. This idea informs the writings of these three thinkers, and the work of the fourth figure in the book, John Dewey - student of Peirce, friend and ally of James, admirer of Holmes.\" \"The Metaphysical Club begins with the Civil War and ends in 1919 with the Supreme Court's decision in U.S. v. Abrams, the basis for the modern law of free speech. It tells the story of the creation of ideas and values that changed the way Americans think and the way they live.\"--Jacket.", "author" : [ { "dropping-particle" : "", "family" : "Menand", "given" : "Louis", "non-dropping-particle" : "", "parse-names" : false, "suffix" : "" } ], "container-title" : "Harvard Library Bulletin", "id" : "ITEM-2", "issue" : "2", "issued" : { "date-parts" : [ [ "2009" ] ] }, "page" : "22-23", "title" : "The Metaphysical Club.", "type" : "article-journal", "volume" : "20" }, "uris" : [ "http://www.mendeley.com/documents/?uuid=c812b87e-7d28-48d8-8ffd-57e5ab0e9a31" ] } ], "mendeley" : { "formattedCitation" : "(Menand, 2009; Merton, 1968)", "plainTextFormattedCitation" : "(Menand, 2009; Merton, 1968)", "previouslyFormattedCitation" : "(Menand, 2009; Merton, 1968)" }, "properties" : { "noteIndex" : 0 }, "schema" : "https://github.com/citation-style-language/schema/raw/master/csl-citation.json" }</w:instrText>
      </w:r>
      <w:r w:rsidR="00A96270">
        <w:fldChar w:fldCharType="separate"/>
      </w:r>
      <w:r w:rsidR="00A96270" w:rsidRPr="00A96270">
        <w:rPr>
          <w:noProof/>
        </w:rPr>
        <w:t>(Menand, 2009; Merton, 1968)</w:t>
      </w:r>
      <w:r w:rsidR="00A96270">
        <w:fldChar w:fldCharType="end"/>
      </w:r>
    </w:p>
    <w:p w14:paraId="1C1B363B" w14:textId="194798C8" w:rsidR="002D4A9D" w:rsidRDefault="00E34348" w:rsidP="000B02C5">
      <w:pPr>
        <w:spacing w:line="480" w:lineRule="auto"/>
      </w:pPr>
      <w:r w:rsidRPr="000B02C5">
        <w:t>The</w:t>
      </w:r>
      <w:r w:rsidR="002D4A9D" w:rsidRPr="000B02C5">
        <w:t xml:space="preserve"> specific model specification, including first an impulse component then an exponential decay, can be used to model particular types of mortality pattern disruption, likely attributable to violence or more general social disorder, even when only relatively limited all-cause mortality data are available, and specific death codes, such as ICD-10 codes</w:t>
      </w:r>
      <w:r w:rsidR="008D1A01" w:rsidRPr="000B02C5">
        <w:t>, are not recorded consistently</w:t>
      </w:r>
      <w:r w:rsidR="002D4A9D" w:rsidRPr="000B02C5">
        <w:t xml:space="preserve">. </w:t>
      </w:r>
      <w:r w:rsidRPr="000B02C5">
        <w:t>This</w:t>
      </w:r>
      <w:r w:rsidR="002D4A9D" w:rsidRPr="000B02C5">
        <w:t xml:space="preserve"> situation is likely to be the case both for less affluent nations in more recent years, as well as for historic demographic data from more affluen</w:t>
      </w:r>
      <w:r w:rsidR="001B7B4E" w:rsidRPr="000B02C5">
        <w:t xml:space="preserve">t data. </w:t>
      </w:r>
      <w:r w:rsidR="00CD5496" w:rsidRPr="000B02C5">
        <w:t>One specific benefit of the modelling approach used here is in allowing conflict-attributable mortality to be compared in terms of both initial inten</w:t>
      </w:r>
      <w:r w:rsidR="00322835" w:rsidRPr="000B02C5">
        <w:t>sity (the height of the initiation</w:t>
      </w:r>
      <w:r w:rsidR="00CD5496" w:rsidRPr="000B02C5">
        <w:t xml:space="preserve"> in the first year) and also duration in terms of decay rates and so conflict half-life. </w:t>
      </w:r>
    </w:p>
    <w:p w14:paraId="57D9D1F1" w14:textId="19A636CA" w:rsidR="009140E4" w:rsidRPr="000B02C5" w:rsidRDefault="009140E4" w:rsidP="009140E4">
      <w:pPr>
        <w:spacing w:line="480" w:lineRule="auto"/>
      </w:pPr>
      <w:r w:rsidRPr="000B02C5">
        <w:lastRenderedPageBreak/>
        <w:t>The model appears characteristic of a population that was in some senses ‘febrile’ or ‘fissile’ in its response to exogenous social, political and economic events and processes</w:t>
      </w:r>
      <w:r w:rsidR="00A96270">
        <w:t>, and is to some extent consistent with previous attempts to model processes of violence as complex systems involving either systems of nonlinear equations or agent-based models</w:t>
      </w:r>
      <w:r w:rsidRPr="000B02C5">
        <w:t xml:space="preserve">. </w:t>
      </w:r>
      <w:r w:rsidR="00A96270" w:rsidRPr="000B02C5">
        <w:fldChar w:fldCharType="begin" w:fldLock="1"/>
      </w:r>
      <w:r w:rsidR="00A96270" w:rsidRPr="000B02C5">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rsidR="00A96270" w:rsidRPr="000B02C5">
        <w:fldChar w:fldCharType="separate"/>
      </w:r>
      <w:r w:rsidR="00A96270" w:rsidRPr="000B02C5">
        <w:rPr>
          <w:noProof/>
        </w:rPr>
        <w:t>(Wright, 2006)</w:t>
      </w:r>
      <w:r w:rsidR="00A96270" w:rsidRPr="000B02C5">
        <w:fldChar w:fldCharType="end"/>
      </w:r>
      <w:r w:rsidR="004436DF" w:rsidRPr="004436DF">
        <w:t xml:space="preserve"> </w:t>
      </w:r>
      <w:r w:rsidR="004436DF" w:rsidRPr="000B02C5">
        <w:t>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rsidR="004436DF" w:rsidRPr="000B02C5">
        <w:fldChar w:fldCharType="begin" w:fldLock="1"/>
      </w:r>
      <w:r w:rsidR="004436DF" w:rsidRPr="000B02C5">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"(Findley, 2008)", "plainTextFormattedCitation" : "(Findley, 2008)", "previouslyFormattedCitation" : "(Findley, 2008)" }, "properties" : { "noteIndex" : 0 }, "schema" : "https://github.com/citation-style-language/schema/raw/master/csl-citation.json" }</w:instrText>
      </w:r>
      <w:r w:rsidR="004436DF" w:rsidRPr="000B02C5">
        <w:fldChar w:fldCharType="separate"/>
      </w:r>
      <w:r w:rsidR="004436DF" w:rsidRPr="000B02C5">
        <w:rPr>
          <w:noProof/>
        </w:rPr>
        <w:t>(Findley, 2008)</w:t>
      </w:r>
      <w:r w:rsidR="004436DF" w:rsidRPr="000B02C5">
        <w:fldChar w:fldCharType="end"/>
      </w:r>
      <w:r w:rsidR="004436DF">
        <w:t xml:space="preserve"> </w:t>
      </w:r>
      <w:r w:rsidRPr="000B02C5">
        <w:t xml:space="preserve">Though it took a number of years, possibly three years, for the series of events which began in the late 1960s to lead to the initiation of conflict, this effect of this conflict was then sustained endogenously over many decades. This appears to represent the essence of cycles of violence driven by tit-for-tat processes of recrimination and revenge. For both sides, justice meant responding to violence with violence, a process of call and response in deadly conflict that, like an echo in a cave, only diminished slowly in intensity over time. Once this wave of conflict was initiated, it may have been that there was little that external agents could have done to either exacerbate or hasten the process of decline in violence. </w:t>
      </w:r>
    </w:p>
    <w:p w14:paraId="74A49F99" w14:textId="774E59B1" w:rsidR="001B7B4E" w:rsidRPr="000B02C5" w:rsidRDefault="001B7B4E" w:rsidP="000B02C5">
      <w:pPr>
        <w:pStyle w:val="Heading3"/>
        <w:spacing w:line="480" w:lineRule="auto"/>
        <w:rPr>
          <w:color w:val="auto"/>
        </w:rPr>
      </w:pPr>
      <w:r w:rsidRPr="000B02C5">
        <w:rPr>
          <w:color w:val="auto"/>
        </w:rPr>
        <w:t xml:space="preserve">Implications of the </w:t>
      </w:r>
      <w:r w:rsidR="00322835" w:rsidRPr="000B02C5">
        <w:rPr>
          <w:color w:val="auto"/>
        </w:rPr>
        <w:t>initiation</w:t>
      </w:r>
      <w:r w:rsidRPr="000B02C5">
        <w:rPr>
          <w:color w:val="auto"/>
        </w:rPr>
        <w:t>-decay model to conflict in Northern Ireland</w:t>
      </w:r>
    </w:p>
    <w:p w14:paraId="14E5EE7C" w14:textId="77777777" w:rsidR="00146D0F" w:rsidRDefault="00146D0F" w:rsidP="00146D0F">
      <w:pPr>
        <w:spacing w:line="480" w:lineRule="auto"/>
      </w:pPr>
      <w:r w:rsidRPr="000B02C5">
        <w:t xml:space="preserve">If, once initiated, the conflict was largely endogenously </w:t>
      </w:r>
      <w:r>
        <w:t>sustained</w:t>
      </w:r>
      <w:r w:rsidRPr="000B02C5">
        <w:t xml:space="preserve">, this has important implications for how the various peace initiatives and processes which were attempted after 1972 should be interpreted in terms of their effectiveness. Up to seven prior attempts at bringing peace to Northern Ireland were made between 1969 and the Belfast Agreement of 1998, including the </w:t>
      </w:r>
      <w:proofErr w:type="spellStart"/>
      <w:r w:rsidRPr="000B02C5">
        <w:t>Sunningdale</w:t>
      </w:r>
      <w:proofErr w:type="spellEnd"/>
      <w:r w:rsidRPr="000B02C5">
        <w:t xml:space="preserve"> Agreement of 1973. It has been argued that what made the Belfast successful was the presence of key individuals acting effectively as ‘brokers’ in the complex social networks which had to be negotiated at the time.</w:t>
      </w:r>
      <w:r w:rsidRPr="000B02C5">
        <w:fldChar w:fldCharType="begin" w:fldLock="1"/>
      </w:r>
      <w:r w:rsidRPr="000B02C5">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"(Goddard, 2012)", "plainTextFormattedCitation" : "(Goddard, 2012)", "previouslyFormattedCitation" : "(Goddard, 2012)" }, "properties" : { "noteIndex" : 0 }, "schema" : "https://github.com/citation-style-language/schema/raw/master/csl-citation.json" }</w:instrText>
      </w:r>
      <w:r w:rsidRPr="000B02C5">
        <w:fldChar w:fldCharType="separate"/>
      </w:r>
      <w:r w:rsidRPr="000B02C5">
        <w:rPr>
          <w:noProof/>
        </w:rPr>
        <w:t>(Goddard, 2012)</w:t>
      </w:r>
      <w:r w:rsidRPr="000B02C5">
        <w:fldChar w:fldCharType="end"/>
      </w:r>
      <w:r w:rsidRPr="000B02C5">
        <w:t xml:space="preserve">  However, if the underlying dynamics of the model are accurate, then </w:t>
      </w:r>
      <w:r>
        <w:t xml:space="preserve">such </w:t>
      </w:r>
      <w:r w:rsidRPr="000B02C5">
        <w:t>factors may be greatly overstated. If the half-life of the conflict was 6.76 years and began in 1972, it follows that by 1994 the intensity of the conflict had diminished to around one-tenth of its initial level. (i.e</w:t>
      </w:r>
      <w:proofErr w:type="gramStart"/>
      <w:r w:rsidRPr="000B02C5">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(1994-1972)</m:t>
            </m:r>
          </m:sup>
        </m:sSup>
        <m:r>
          <w:rPr>
            <w:rFonts w:ascii="Cambria Math" w:eastAsiaTheme="minorEastAsia" w:hAnsi="Cambria Math"/>
          </w:rPr>
          <m:t>=0.105</m:t>
        </m:r>
      </m:oMath>
      <w:r w:rsidRPr="000B02C5">
        <w:rPr>
          <w:rFonts w:eastAsiaTheme="minorEastAsia"/>
        </w:rPr>
        <w:t xml:space="preserve">). Similarly, by the time of the Good Friday </w:t>
      </w:r>
      <w:r w:rsidRPr="000B02C5">
        <w:rPr>
          <w:rFonts w:eastAsiaTheme="minorEastAsia"/>
        </w:rPr>
        <w:lastRenderedPageBreak/>
        <w:t xml:space="preserve">Agreement in 1998 the underlying conflict intensity had diminished to around 7% of its initial value </w:t>
      </w:r>
      <w:r w:rsidRPr="000B02C5">
        <w:t>(i.e</w:t>
      </w:r>
      <w:proofErr w:type="gramStart"/>
      <w:r w:rsidRPr="000B02C5">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(1998-1972)</m:t>
            </m:r>
          </m:sup>
        </m:sSup>
        <m:r>
          <w:rPr>
            <w:rFonts w:ascii="Cambria Math" w:eastAsiaTheme="minorEastAsia" w:hAnsi="Cambria Math"/>
          </w:rPr>
          <m:t>=0.069</m:t>
        </m:r>
      </m:oMath>
      <w:r w:rsidRPr="000B02C5">
        <w:rPr>
          <w:rFonts w:eastAsiaTheme="minorEastAsia"/>
        </w:rPr>
        <w:t>). Note that these intensity values apply to log</w:t>
      </w:r>
      <w:r w:rsidRPr="000B02C5">
        <w:rPr>
          <w:rFonts w:eastAsiaTheme="minorEastAsia"/>
          <w:vertAlign w:val="subscript"/>
        </w:rPr>
        <w:t>10</w:t>
      </w:r>
      <w:r w:rsidRPr="000B02C5">
        <w:rPr>
          <w:rFonts w:eastAsiaTheme="minorEastAsia"/>
        </w:rPr>
        <w:t xml:space="preserve"> mortality risks, so the actual level of decline of conflict intensity on deaths by the mid to late 1990s will have been even greater. </w:t>
      </w:r>
      <w:r w:rsidRPr="000B02C5">
        <w:t xml:space="preserve"> </w:t>
      </w:r>
    </w:p>
    <w:p w14:paraId="63A25EFA" w14:textId="074BB897" w:rsidR="00146D0F" w:rsidRPr="000B02C5" w:rsidRDefault="00146D0F" w:rsidP="00146D0F">
      <w:pPr>
        <w:spacing w:line="480" w:lineRule="auto"/>
      </w:pPr>
      <w:r w:rsidRPr="000B02C5">
        <w:t>The power sharing arrangement following the Good Friday Agreement (GFA) has been described as an example of ‘</w:t>
      </w:r>
      <w:proofErr w:type="spellStart"/>
      <w:r w:rsidRPr="000B02C5">
        <w:t>consociationalism</w:t>
      </w:r>
      <w:proofErr w:type="spellEnd"/>
      <w:r w:rsidRPr="000B02C5">
        <w:t>’, a system of government in which coalition by both Republicans and Loyalists is mandated.</w:t>
      </w:r>
      <w:r w:rsidRPr="000B02C5">
        <w:fldChar w:fldCharType="begin" w:fldLock="1"/>
      </w:r>
      <w:r w:rsidR="00A30D59">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0B02C5">
        <w:fldChar w:fldCharType="separate"/>
      </w:r>
      <w:r w:rsidRPr="00146D0F">
        <w:rPr>
          <w:noProof/>
        </w:rPr>
        <w:t>(Anderson, 2008)</w:t>
      </w:r>
      <w:r w:rsidRPr="000B02C5">
        <w:fldChar w:fldCharType="end"/>
      </w:r>
      <w:r w:rsidRPr="000B02C5">
        <w:t xml:space="preserve"> The </w:t>
      </w:r>
      <w:proofErr w:type="spellStart"/>
      <w:r w:rsidRPr="000B02C5">
        <w:t>consociational</w:t>
      </w:r>
      <w:proofErr w:type="spellEnd"/>
      <w:r w:rsidRPr="000B02C5">
        <w:t xml:space="preserve"> arrangement following the GFA has led to little change in the ethno-sectarian identity focus of any of the main parties within Northern Ireland. Indeed, the political success of Sinn Fein at the expense of the more moderate Social Democratic and Labour Party (SDLP) in capturing the Irish Nationalist voting block after the GFA suggests sectarian identity may have come to matter more, not less, to voting intentions following the GFA.</w:t>
      </w:r>
      <w:r w:rsidRPr="000B02C5">
        <w:fldChar w:fldCharType="begin" w:fldLock="1"/>
      </w:r>
      <w:r w:rsidRPr="000B02C5">
        <w:instrText>ADDIN CSL_CITATION { "citationItems" : [ { "id" : "ITEM-1", "itemData" : { "DOI" : "10.1111/j.1467-856X.2012.00528.x", "ISSN" : "1369-1481", "abstract" : "Research Highlights and Abstract Offers one of the first detailed considerations of how political parties in Northern Ireland have adapted to the impact of the dual legitimacy of Protestant-British-Unionist and Catholic-Irish-Nationalist identities central to the Good Friday/Belfast Agreement Extends debates about devolution and party competition which have been centred on Great Britain to the United Kingdom. Outlines how the continuing bi-communalism of the electorate discourages parties from reshaping identity or chasing votes beyond the ethnic divide Analyses how nationalist parties, Sinn F\u00e9in in particular, have developed the rights of all citizens on the island of Ireland to be Irish, under the post-Good Friday Agreement Irish constitution Assesses the data indicating a modest growth of a common Northern Irish identity In this article we examine how party political competition in Northern Ireland impacts on understandings of national identity and citizenship both within the region and elsewhere in the UK. These dynamics can be seen in expressions of political identity and through organisational change and electoral strategies. The consociational framework in which Northern Irish parties operate is one of the most powerful dynamics and we assess how it has shaped intra-community party competition, most notably through the emergence of the Democratic Unionist Party and Sinn F\u00e9in as the strongest unionist and nationalist parties respectively. However, our analysis of campaigning and voting in the 2010 General Election and 2011 Assembly elections also shows that the transformation of party political competition in the UK after devolution is an important dynamic and one that has shaped unionist electoral strategies in particular.", "author" : [ { "dropping-particle" : "", "family" : "McGlynn", "given" : "Catherine", "non-dropping-particle" : "", "parse-names" : false, "suffix" : "" }, { "dropping-particle" : "", "family" : "Tonge", "given" : "Jonathan", "non-dropping-particle" : "", "parse-names" : false, "suffix" : "" }, { "dropping-particle" : "", "family" : "McAuley", "given" : "Jim", "non-dropping-particle" : "", "parse-names" : false, "suffix" : "" } ], "container-title" : "The British Journal of Politics and International Relations", "id" : "ITEM-1", "issue" : "2", "issued" : { "date-parts" : [ [ "2014", "5" ] ] }, "page" : "273-290", "title" : "The Party Politics of Post-Devolution Identity in Northern Ireland", "type" : "article-journal", "volume" : "16" }, "uris" : [ "http://www.mendeley.com/documents/?uuid=fb4bda3e-f672-4509-bebb-01bc3e856296" ] } ], "mendeley" : { "formattedCitation" : "(McGlynn, Tonge, &amp; McAuley, 2014)", "plainTextFormattedCitation" : "(McGlynn, Tonge, &amp; McAuley, 2014)", "previouslyFormattedCitation" : "(McGlynn, Tonge, &amp; McAuley, 2014)" }, "properties" : { "noteIndex" : 0 }, "schema" : "https://github.com/citation-style-language/schema/raw/master/csl-citation.json" }</w:instrText>
      </w:r>
      <w:r w:rsidRPr="000B02C5">
        <w:fldChar w:fldCharType="separate"/>
      </w:r>
      <w:r w:rsidRPr="000B02C5">
        <w:rPr>
          <w:noProof/>
        </w:rPr>
        <w:t>(</w:t>
      </w:r>
      <w:proofErr w:type="spellStart"/>
      <w:r w:rsidRPr="000B02C5">
        <w:rPr>
          <w:noProof/>
        </w:rPr>
        <w:t>McGlynn</w:t>
      </w:r>
      <w:proofErr w:type="spellEnd"/>
      <w:r w:rsidRPr="000B02C5">
        <w:rPr>
          <w:noProof/>
        </w:rPr>
        <w:t>, Tonge, &amp; McAuley, 2014)</w:t>
      </w:r>
      <w:r w:rsidRPr="000B02C5">
        <w:fldChar w:fldCharType="end"/>
      </w:r>
      <w:r w:rsidRPr="000B02C5">
        <w:t xml:space="preserve"> Cross-ethnic political parties have seen only limited success after the GFA compared with sectarian political parties, and this lack of success has been attributed to the </w:t>
      </w:r>
      <w:proofErr w:type="spellStart"/>
      <w:r>
        <w:t>consociationalist</w:t>
      </w:r>
      <w:proofErr w:type="spellEnd"/>
      <w:r w:rsidRPr="000B02C5">
        <w:t xml:space="preserve"> institutions established in the wake of the GFA to accommodate (rather than attempt to blend) rival identities.</w:t>
      </w:r>
      <w:r w:rsidRPr="000B02C5">
        <w:fldChar w:fldCharType="begin" w:fldLock="1"/>
      </w:r>
      <w:r w:rsidRPr="000B02C5">
        <w:instrText>ADDIN CSL_CITATION { "citationItems" : [ { "id" : "ITEM-1", "itemData" : { "DOI" : "10.1111/nana.12129", "ISSN" : "13545078", "abstract" : "This paper investigates the paradox in post-conflict societies of continued marginality of cross-ethnic parties despite significant convergence in public attitudes and identities. In so doing, it examines the argument that parties that attempt to reach across the divide are constrained by consocational institutions designed to accommodate rival identities in such environments. The paper explores this puzzle in the context of Northern Ireland, drawing upon qualitative evidence from elite interviews and focus groups collected in 2012 and 2013. It concludes that cross-community parties operating in the region do encounter formal institutional barriers, but that such barriers only partially explain the phenomenon and an interplay between formal and informal constraints underlies their position of relatively limited electoral success.", "author" : [ { "dropping-particle" : "", "family" : "Murtagh", "given" : "Cera", "non-dropping-particle" : "", "parse-names" : false, "suffix" : "" } ], "container-title" : "Nations and Nationalism", "id" : "ITEM-1", "issue" : "3", "issued" : { "date-parts" : [ [ "2015", "7" ] ] }, "page" : "544-565", "title" : "Reaching across: institutional barriers to cross-ethnic parties in post-conflict societies and the case of Northern Ireland", "type" : "article-journal", "volume" : "21" }, "uris" : [ "http://www.mendeley.com/documents/?uuid=259dbb53-0f2e-40fb-8179-dd08f3883008" ] } ], "mendeley" : { "formattedCitation" : "(Murtagh, 2015)", "plainTextFormattedCitation" : "(Murtagh, 2015)", "previouslyFormattedCitation" : "(Murtagh, 2015)" }, "properties" : { "noteIndex" : 0 }, "schema" : "https://github.com/citation-style-language/schema/raw/master/csl-citation.json" }</w:instrText>
      </w:r>
      <w:r w:rsidRPr="000B02C5">
        <w:fldChar w:fldCharType="separate"/>
      </w:r>
      <w:r w:rsidRPr="000B02C5">
        <w:rPr>
          <w:noProof/>
        </w:rPr>
        <w:t>(</w:t>
      </w:r>
      <w:proofErr w:type="spellStart"/>
      <w:r w:rsidRPr="000B02C5">
        <w:rPr>
          <w:noProof/>
        </w:rPr>
        <w:t>Murtagh</w:t>
      </w:r>
      <w:proofErr w:type="spellEnd"/>
      <w:r w:rsidRPr="000B02C5">
        <w:rPr>
          <w:noProof/>
        </w:rPr>
        <w:t>, 2015)</w:t>
      </w:r>
      <w:r w:rsidRPr="000B02C5">
        <w:fldChar w:fldCharType="end"/>
      </w:r>
      <w:r>
        <w:t xml:space="preserve"> </w:t>
      </w:r>
      <w:r w:rsidRPr="000B02C5">
        <w:t xml:space="preserve">Questions have therefore been raised about whether the GFA represents or helps to bring about conflict </w:t>
      </w:r>
      <w:r w:rsidRPr="000B02C5">
        <w:rPr>
          <w:i/>
        </w:rPr>
        <w:t>resolution</w:t>
      </w:r>
      <w:r w:rsidRPr="000B02C5">
        <w:t xml:space="preserve">, or is simply conflict </w:t>
      </w:r>
      <w:r w:rsidRPr="000B02C5">
        <w:rPr>
          <w:i/>
        </w:rPr>
        <w:t>management</w:t>
      </w:r>
      <w:r>
        <w:t>,</w:t>
      </w:r>
      <w:r w:rsidRPr="000B02C5">
        <w:t xml:space="preserve"> </w:t>
      </w:r>
      <w:r>
        <w:t xml:space="preserve">or </w:t>
      </w:r>
      <w:r w:rsidRPr="000B02C5">
        <w:t>more pessimistically</w:t>
      </w:r>
      <w:r>
        <w:t>, conflict deferment</w:t>
      </w:r>
      <w:r w:rsidRPr="000B02C5">
        <w:t>.</w:t>
      </w:r>
      <w:r w:rsidRPr="000B02C5">
        <w:fldChar w:fldCharType="begin" w:fldLock="1"/>
      </w:r>
      <w:r w:rsidR="00A30D59">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0B02C5">
        <w:fldChar w:fldCharType="separate"/>
      </w:r>
      <w:r w:rsidRPr="00146D0F">
        <w:rPr>
          <w:noProof/>
        </w:rPr>
        <w:t>(Anderson, 2008)</w:t>
      </w:r>
      <w:r w:rsidRPr="000B02C5">
        <w:fldChar w:fldCharType="end"/>
      </w:r>
      <w:r w:rsidRPr="000B02C5">
        <w:t xml:space="preserve"> </w:t>
      </w:r>
    </w:p>
    <w:p w14:paraId="72453952" w14:textId="152A6E8D" w:rsidR="008D1A01" w:rsidRPr="000B02C5" w:rsidRDefault="00A96270" w:rsidP="000B02C5">
      <w:pPr>
        <w:spacing w:line="480" w:lineRule="auto"/>
      </w:pPr>
      <w:r>
        <w:t>W</w:t>
      </w:r>
      <w:r w:rsidR="00EF2178" w:rsidRPr="000B02C5">
        <w:t>hereas ethno-national conflict since the establishment of Northern Ireland in 1921 sharpened the border with the Republic of Ireland, the European Single Market made it more permeable.</w:t>
      </w:r>
      <w:r w:rsidR="00EF2178" w:rsidRPr="000B02C5">
        <w:fldChar w:fldCharType="begin" w:fldLock="1"/>
      </w:r>
      <w:r w:rsidR="00EF2178" w:rsidRPr="000B02C5">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&amp; O\u2019Dowd, 1999)", "plainTextFormattedCitation" : "(Anderson &amp; O\u2019Dowd, 1999)", "previouslyFormattedCitation" : "(Anderson &amp; O\u2019Dowd, 1999)" }, "properties" : { "noteIndex" : 0 }, "schema" : "https://github.com/citation-style-language/schema/raw/master/csl-citation.json" }</w:instrText>
      </w:r>
      <w:r w:rsidR="00EF2178" w:rsidRPr="000B02C5">
        <w:fldChar w:fldCharType="separate"/>
      </w:r>
      <w:r w:rsidR="00EF2178" w:rsidRPr="000B02C5">
        <w:rPr>
          <w:noProof/>
        </w:rPr>
        <w:t>(Anderson &amp; O’Dowd, 1999)</w:t>
      </w:r>
      <w:r w:rsidR="00EF2178" w:rsidRPr="000B02C5">
        <w:fldChar w:fldCharType="end"/>
      </w:r>
      <w:r w:rsidR="00EF2178" w:rsidRPr="000B02C5">
        <w:t xml:space="preserve"> EU Peace Programmes for Northern Ireland and the Border Counties began in 1995 with the Special Support Programme for Peace and Reconciliation (Peace I) which provided €500 million in structural funds to the region, supplemented with an additional €167 from government; followed by the Programme for Peace and Reconciliation (Peace II), which provided €531million via the EU and an additional €304 from national governments between 2000 and 2004.</w:t>
      </w:r>
      <w:r w:rsidR="00EF2178" w:rsidRPr="000B02C5">
        <w:fldChar w:fldCharType="begin" w:fldLock="1"/>
      </w:r>
      <w:r w:rsidR="00EF2178" w:rsidRPr="000B02C5">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rsidR="00EF2178" w:rsidRPr="000B02C5">
        <w:fldChar w:fldCharType="separate"/>
      </w:r>
      <w:r w:rsidR="00EF2178" w:rsidRPr="000B02C5">
        <w:rPr>
          <w:noProof/>
        </w:rPr>
        <w:t>(Buchanan, 2008)</w:t>
      </w:r>
      <w:r w:rsidR="00EF2178" w:rsidRPr="000B02C5">
        <w:fldChar w:fldCharType="end"/>
      </w:r>
      <w:r w:rsidR="00EF2178" w:rsidRPr="000B02C5">
        <w:t xml:space="preserve">  </w:t>
      </w:r>
      <w:r w:rsidR="008D1A01" w:rsidRPr="000B02C5">
        <w:t xml:space="preserve">The third phase of the EU programme for Peace and Reconciliation in Northern Ireland took </w:t>
      </w:r>
      <w:r w:rsidR="008D1A01" w:rsidRPr="000B02C5">
        <w:lastRenderedPageBreak/>
        <w:t xml:space="preserve">place over the years 2007 to 2013. </w:t>
      </w:r>
      <w:r w:rsidR="008D1A01" w:rsidRPr="000B02C5">
        <w:fldChar w:fldCharType="begin" w:fldLock="1"/>
      </w:r>
      <w:r w:rsidR="008D1A01" w:rsidRPr="000B02C5">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"(Karari, Byrne, Skarlato, Ahmed, &amp; Hyde, 2013)", "plainTextFormattedCitation" : "(Karari, Byrne, Skarlato, Ahmed, &amp; Hyde, 2013)", "previouslyFormattedCitation" : "(Karari, Byrne, Skarlato, Ahmed, &amp; Hyde, 2013)" }, "properties" : { "noteIndex" : 0 }, "schema" : "https://github.com/citation-style-language/schema/raw/master/csl-citation.json" }</w:instrText>
      </w:r>
      <w:r w:rsidR="008D1A01" w:rsidRPr="000B02C5">
        <w:fldChar w:fldCharType="separate"/>
      </w:r>
      <w:r w:rsidR="008D1A01" w:rsidRPr="000B02C5">
        <w:rPr>
          <w:noProof/>
        </w:rPr>
        <w:t>(Karari, Byrne, Skarlato, Ahmed, &amp; Hyde, 2013)</w:t>
      </w:r>
      <w:r w:rsidR="008D1A01" w:rsidRPr="000B02C5">
        <w:fldChar w:fldCharType="end"/>
      </w:r>
      <w:r w:rsidR="00146D0F">
        <w:t xml:space="preserve"> Whereas the GFA focused on building peace by addressing the leaders of political factions, EU-led initiatives focused on economic investment and to greater community engagement as a means of building more lasting stability in Northern Ireland and the Irish border. The UK’s departure places the future of further initiatives in doubt, though the Irish border remains a key priority for EU-UK Brexit negotiations.</w:t>
      </w:r>
    </w:p>
    <w:p w14:paraId="66C18D91" w14:textId="2FEE031C" w:rsidR="00C920BF" w:rsidRDefault="00146D0F" w:rsidP="000B02C5">
      <w:pPr>
        <w:spacing w:line="480" w:lineRule="auto"/>
      </w:pPr>
      <w:r>
        <w:t xml:space="preserve">At the time of writing (13 June 2017), in the days following the 2017 General Election, particular attention has been paid in the UK mainland to the socially conservative views of the DUP on issues including abortion, homosexuality, and gay marriage. Gay marriage is now legal in the Republic of Ireland, and Northern Ireland remains the only part of the UK in which abortion is illegal, suggesting that Northern Ireland possesses greater religious social conservatism than either ‘Catholic Ireland’ or ‘Protestant England’. </w:t>
      </w:r>
      <w:r w:rsidR="00757F5B">
        <w:t xml:space="preserve">Many aspects of this social conservatism, for those in Northern Ireland to possess social attitudes considered ‘regressive’ in neighbouring countries, may itself result from lingering sectarian tension, and a phenomenon in social psychology known as the ‘secondary transfer effect’ (STE), which posits that once two antagonistic groups develop more positive attitudes to one another, attitudes towards additional outgroups – such as ethnic minorities, homosexuals, and teenage parents – also tend to become more positive and accepting. </w:t>
      </w:r>
      <w:r w:rsidR="00757F5B" w:rsidRPr="000B02C5">
        <w:fldChar w:fldCharType="begin" w:fldLock="1"/>
      </w:r>
      <w:r w:rsidR="00757F5B">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"(Tausch et al., 2010)", "plainTextFormattedCitation" : "(Tausch et al., 2010)", "previouslyFormattedCitation" : "(Tausch et al., 2010)" }, "properties" : { "noteIndex" : 0 }, "schema" : "https://github.com/citation-style-language/schema/raw/master/csl-citation.json" }</w:instrText>
      </w:r>
      <w:r w:rsidR="00757F5B" w:rsidRPr="000B02C5">
        <w:fldChar w:fldCharType="separate"/>
      </w:r>
      <w:r w:rsidR="00757F5B" w:rsidRPr="00C94CE9">
        <w:rPr>
          <w:noProof/>
        </w:rPr>
        <w:t>(Tausch et al., 2010)</w:t>
      </w:r>
      <w:r w:rsidR="00757F5B" w:rsidRPr="000B02C5">
        <w:fldChar w:fldCharType="end"/>
      </w:r>
      <w:r w:rsidR="00757F5B" w:rsidRPr="000B02C5">
        <w:t xml:space="preserve"> </w:t>
      </w:r>
      <w:r w:rsidR="00757F5B">
        <w:t xml:space="preserve">Without mutual acceptance by Unionists’ and </w:t>
      </w:r>
      <w:r w:rsidR="00A30D59">
        <w:t>Nationalists</w:t>
      </w:r>
      <w:r w:rsidR="00757F5B">
        <w:t>’ of each group’s primary outgroup (</w:t>
      </w:r>
      <w:r w:rsidR="00A30D59">
        <w:t xml:space="preserve">Nationalists </w:t>
      </w:r>
      <w:r w:rsidR="00757F5B">
        <w:t>and Unionists respectively), acceptance and tolerance towards other outgroups may continue to lag behind those in neighbouring countries</w:t>
      </w:r>
      <w:r w:rsidR="00A30D59">
        <w:t xml:space="preserve">. </w:t>
      </w:r>
      <w:r w:rsidR="00A30D59">
        <w:fldChar w:fldCharType="begin" w:fldLock="1"/>
      </w:r>
      <w:r w:rsidR="00A30D59">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"id" : "ITEM-2", "itemData" : { "DOI" : "10.1111/bjso.12045", "ISSN" : "2044-8309", "PMID" : "23879325", "abstract" : "Secondary transfer effects (STEs) of intergroup contact refer to the generalization of contact effects from a primary encountered outgroup to attitudes towards secondary outgroups (Pettigrew, 2009). Using two large, cross-sectional data sets from Germany (N = 1,381) and Northern Ireland (N = 1,948), this article examined the extent to which STEs of intergroup contact on attitudes towards a range of secondary outgroups occur via a previously unexplored psychological construct, social identity complexity (operationalized as similarity complexity and overlap complexity). Study 1 found primary outgroup contact to be associated with greater similarity complexity, but no indirect effects on secondary outgroup attitudes via complexity emerged. Study 2, however, revealed indirect positive relationships between primary outgroup contact and secondary outgroup attitudes via increased similarity complexity and overlap complexity. These relationships were obtained while controlling for two previously tested mediating mechanisms, attitude generalization (operationalized as primary outgroup attitude) and deprovincialization (operationalized as ingroup attitude and identification). We discuss the theoretical implications of these findings and the contribution of social identity complexity to understanding processes underlying STEs of contact.", "author" : [ { "dropping-particle" : "", "family" : "Schmid", "given" : "Katharina", "non-dropping-particle" : "", "parse-names" : false, "suffix" : "" }, { "dropping-particle" : "", "family" : "Hewstone", "given" : "Miles", "non-dropping-particle" : "", "parse-names" : false, "suffix" : "" }, { "dropping-particle" : "", "family" : "Tausch", "given" : "Nicole", "non-dropping-particle" : "", "parse-names" : false, "suffix" : "" } ], "container-title" : "The British journal of social psychology", "id" : "ITEM-2", "issue" : "3", "issued" : { "date-parts" : [ [ "2014", "9" ] ] }, "note" : "Brit J Soc Psychol Brit J Soc Psychol\nISI:000342987800003; Aq7Jb; Times Cited:2; Cited References Count:36", "page" : "443-62", "title" : "Secondary transfer effects of intergroup contact via social identity complexity.", "type" : "article-journal", "volume" : "53" }, "uris" : [ "http://www.mendeley.com/documents/?uuid=f3b55b93-3b2b-46c0-a0b8-b73569e4991f" ] } ], "mendeley" : { "formattedCitation" : "(Ashe, 2009; Schmid, Hewstone, &amp; Tausch, 2014)", "plainTextFormattedCitation" : "(Ashe, 2009; Schmid, Hewstone, &amp; Tausch, 2014)", "previouslyFormattedCitation" : "(Ashe, 2009; Schmid, Hewstone, &amp; Tausch, 2014)" }, "properties" : { "noteIndex" : 0 }, "schema" : "https://github.com/citation-style-language/schema/raw/master/csl-citation.json" }</w:instrText>
      </w:r>
      <w:r w:rsidR="00A30D59">
        <w:fldChar w:fldCharType="separate"/>
      </w:r>
      <w:r w:rsidR="00A30D59" w:rsidRPr="00A30D59">
        <w:rPr>
          <w:noProof/>
        </w:rPr>
        <w:t>(Ashe, 2009; Schmid, Hewstone, &amp; Tausch, 2014)</w:t>
      </w:r>
      <w:r w:rsidR="00A30D59">
        <w:fldChar w:fldCharType="end"/>
      </w:r>
      <w:r w:rsidR="00A30D59" w:rsidRPr="000B02C5">
        <w:t xml:space="preserve">  </w:t>
      </w:r>
      <w:r w:rsidR="00757F5B">
        <w:t xml:space="preserve">A barometer for latent sectarianism within Northern Ireland, and thus the degree to which UK-led political actions relating to Brexit could initiate a new wave of decades-long conflict, may therefore be attitudes and behaviours directed towards people who are neither Unionist nor Catholic, neither Loyalist nor </w:t>
      </w:r>
      <w:r w:rsidR="00A30D59">
        <w:t xml:space="preserve">Nationalist, but simply different. </w:t>
      </w:r>
    </w:p>
    <w:p w14:paraId="6C70904D" w14:textId="77777777" w:rsidR="00F119C2" w:rsidRPr="001D36B8" w:rsidRDefault="00F119C2" w:rsidP="000B02C5">
      <w:pPr>
        <w:spacing w:line="480" w:lineRule="auto"/>
        <w:rPr>
          <w:color w:val="FF0000"/>
        </w:rPr>
        <w:sectPr w:rsidR="00F119C2" w:rsidRPr="001D36B8" w:rsidSect="001766BE">
          <w:pgSz w:w="11906" w:h="16838"/>
          <w:pgMar w:top="1440" w:right="1440" w:bottom="1440" w:left="1440" w:header="708" w:footer="708" w:gutter="0"/>
          <w:cols w:space="708"/>
          <w:docGrid w:linePitch="360"/>
        </w:sectPr>
      </w:pPr>
    </w:p>
    <w:p w14:paraId="0F2785EC" w14:textId="14C7ACB8" w:rsidR="00F1537E" w:rsidRDefault="00F1537E" w:rsidP="000B02C5">
      <w:pPr>
        <w:pStyle w:val="Heading1"/>
        <w:spacing w:line="480" w:lineRule="auto"/>
      </w:pPr>
      <w:r w:rsidRPr="00A30D59">
        <w:rPr>
          <w:color w:val="auto"/>
        </w:rPr>
        <w:lastRenderedPageBreak/>
        <w:t xml:space="preserve">References </w:t>
      </w:r>
      <w:r w:rsidR="00023023">
        <w:br/>
      </w:r>
    </w:p>
    <w:p w14:paraId="23238F88" w14:textId="59E245CB" w:rsidR="00681EE6" w:rsidRPr="00681EE6" w:rsidRDefault="00023023" w:rsidP="00681EE6">
      <w:pPr>
        <w:widowControl w:val="0"/>
        <w:autoSpaceDE w:val="0"/>
        <w:autoSpaceDN w:val="0"/>
        <w:adjustRightInd w:val="0"/>
        <w:spacing w:line="48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681EE6" w:rsidRPr="00681EE6">
        <w:rPr>
          <w:rFonts w:ascii="Calibri" w:hAnsi="Calibri" w:cs="Times New Roman"/>
          <w:noProof/>
          <w:szCs w:val="24"/>
        </w:rPr>
        <w:t xml:space="preserve">Abadie, A., Diamond, A., &amp; Hainmueller, J. (2015). Comparative Politics and the Synthetic Control Method. </w:t>
      </w:r>
      <w:r w:rsidR="00681EE6" w:rsidRPr="00681EE6">
        <w:rPr>
          <w:rFonts w:ascii="Calibri" w:hAnsi="Calibri" w:cs="Times New Roman"/>
          <w:i/>
          <w:iCs/>
          <w:noProof/>
          <w:szCs w:val="24"/>
        </w:rPr>
        <w:t>American Journal of Political Science</w:t>
      </w:r>
      <w:r w:rsidR="00681EE6" w:rsidRPr="00681EE6">
        <w:rPr>
          <w:rFonts w:ascii="Calibri" w:hAnsi="Calibri" w:cs="Times New Roman"/>
          <w:noProof/>
          <w:szCs w:val="24"/>
        </w:rPr>
        <w:t xml:space="preserve">, </w:t>
      </w:r>
      <w:r w:rsidR="00681EE6" w:rsidRPr="00681EE6">
        <w:rPr>
          <w:rFonts w:ascii="Calibri" w:hAnsi="Calibri" w:cs="Times New Roman"/>
          <w:i/>
          <w:iCs/>
          <w:noProof/>
          <w:szCs w:val="24"/>
        </w:rPr>
        <w:t>59</w:t>
      </w:r>
      <w:r w:rsidR="00681EE6" w:rsidRPr="00681EE6">
        <w:rPr>
          <w:rFonts w:ascii="Calibri" w:hAnsi="Calibri" w:cs="Times New Roman"/>
          <w:noProof/>
          <w:szCs w:val="24"/>
        </w:rPr>
        <w:t>(2), 495–510. http://doi.org/10.1111/ajps.12116</w:t>
      </w:r>
    </w:p>
    <w:p w14:paraId="26460915"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Akaike, H. (1974). A new look at the statistical model identification. </w:t>
      </w:r>
      <w:r w:rsidRPr="00681EE6">
        <w:rPr>
          <w:rFonts w:ascii="Calibri" w:hAnsi="Calibri" w:cs="Times New Roman"/>
          <w:i/>
          <w:iCs/>
          <w:noProof/>
          <w:szCs w:val="24"/>
        </w:rPr>
        <w:t>IEEE Transactions on Automatic Control</w:t>
      </w:r>
      <w:r w:rsidRPr="00681EE6">
        <w:rPr>
          <w:rFonts w:ascii="Calibri" w:hAnsi="Calibri" w:cs="Times New Roman"/>
          <w:noProof/>
          <w:szCs w:val="24"/>
        </w:rPr>
        <w:t xml:space="preserve">, </w:t>
      </w:r>
      <w:r w:rsidRPr="00681EE6">
        <w:rPr>
          <w:rFonts w:ascii="Calibri" w:hAnsi="Calibri" w:cs="Times New Roman"/>
          <w:i/>
          <w:iCs/>
          <w:noProof/>
          <w:szCs w:val="24"/>
        </w:rPr>
        <w:t>19</w:t>
      </w:r>
      <w:r w:rsidRPr="00681EE6">
        <w:rPr>
          <w:rFonts w:ascii="Calibri" w:hAnsi="Calibri" w:cs="Times New Roman"/>
          <w:noProof/>
          <w:szCs w:val="24"/>
        </w:rPr>
        <w:t>(6), 716–723. http://doi.org/10.1109/TAC.1974.1100705</w:t>
      </w:r>
    </w:p>
    <w:p w14:paraId="67D738B4"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Anderson, J. (2008). Partition, consociation, border-crossing: some lessons from the national conflict in Ireland/Northern Ireland. </w:t>
      </w:r>
      <w:r w:rsidRPr="00681EE6">
        <w:rPr>
          <w:rFonts w:ascii="Calibri" w:hAnsi="Calibri" w:cs="Times New Roman"/>
          <w:i/>
          <w:iCs/>
          <w:noProof/>
          <w:szCs w:val="24"/>
        </w:rPr>
        <w:t>Nations and Nationalism</w:t>
      </w:r>
      <w:r w:rsidRPr="00681EE6">
        <w:rPr>
          <w:rFonts w:ascii="Calibri" w:hAnsi="Calibri" w:cs="Times New Roman"/>
          <w:noProof/>
          <w:szCs w:val="24"/>
        </w:rPr>
        <w:t xml:space="preserve">, </w:t>
      </w:r>
      <w:r w:rsidRPr="00681EE6">
        <w:rPr>
          <w:rFonts w:ascii="Calibri" w:hAnsi="Calibri" w:cs="Times New Roman"/>
          <w:i/>
          <w:iCs/>
          <w:noProof/>
          <w:szCs w:val="24"/>
        </w:rPr>
        <w:t>14</w:t>
      </w:r>
      <w:r w:rsidRPr="00681EE6">
        <w:rPr>
          <w:rFonts w:ascii="Calibri" w:hAnsi="Calibri" w:cs="Times New Roman"/>
          <w:noProof/>
          <w:szCs w:val="24"/>
        </w:rPr>
        <w:t>(1), 85–104. http://doi.org/10.1111/j.1469-8129.2008.00340.x</w:t>
      </w:r>
    </w:p>
    <w:p w14:paraId="46A73592"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Anderson, J., &amp; O’Dowd, L. (1999). Contested Borders: Globalization and Ethnonational Conflict in Ireland. </w:t>
      </w:r>
      <w:r w:rsidRPr="00681EE6">
        <w:rPr>
          <w:rFonts w:ascii="Calibri" w:hAnsi="Calibri" w:cs="Times New Roman"/>
          <w:i/>
          <w:iCs/>
          <w:noProof/>
          <w:szCs w:val="24"/>
        </w:rPr>
        <w:t>Regional Studies</w:t>
      </w:r>
      <w:r w:rsidRPr="00681EE6">
        <w:rPr>
          <w:rFonts w:ascii="Calibri" w:hAnsi="Calibri" w:cs="Times New Roman"/>
          <w:noProof/>
          <w:szCs w:val="24"/>
        </w:rPr>
        <w:t xml:space="preserve">, </w:t>
      </w:r>
      <w:r w:rsidRPr="00681EE6">
        <w:rPr>
          <w:rFonts w:ascii="Calibri" w:hAnsi="Calibri" w:cs="Times New Roman"/>
          <w:i/>
          <w:iCs/>
          <w:noProof/>
          <w:szCs w:val="24"/>
        </w:rPr>
        <w:t>33</w:t>
      </w:r>
      <w:r w:rsidRPr="00681EE6">
        <w:rPr>
          <w:rFonts w:ascii="Calibri" w:hAnsi="Calibri" w:cs="Times New Roman"/>
          <w:noProof/>
          <w:szCs w:val="24"/>
        </w:rPr>
        <w:t>(7), 681–696. http://doi.org/10.1080/00343409950078710</w:t>
      </w:r>
    </w:p>
    <w:p w14:paraId="17BEF643"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Anderson, J., &amp; O’Dowd, L. (2007). Imperialism and nationalism: The Home Rule struggle and border creation in Ireland, 1885–1925. </w:t>
      </w:r>
      <w:r w:rsidRPr="00681EE6">
        <w:rPr>
          <w:rFonts w:ascii="Calibri" w:hAnsi="Calibri" w:cs="Times New Roman"/>
          <w:i/>
          <w:iCs/>
          <w:noProof/>
          <w:szCs w:val="24"/>
        </w:rPr>
        <w:t>Political Geography</w:t>
      </w:r>
      <w:r w:rsidRPr="00681EE6">
        <w:rPr>
          <w:rFonts w:ascii="Calibri" w:hAnsi="Calibri" w:cs="Times New Roman"/>
          <w:noProof/>
          <w:szCs w:val="24"/>
        </w:rPr>
        <w:t xml:space="preserve">, </w:t>
      </w:r>
      <w:r w:rsidRPr="00681EE6">
        <w:rPr>
          <w:rFonts w:ascii="Calibri" w:hAnsi="Calibri" w:cs="Times New Roman"/>
          <w:i/>
          <w:iCs/>
          <w:noProof/>
          <w:szCs w:val="24"/>
        </w:rPr>
        <w:t>26</w:t>
      </w:r>
      <w:r w:rsidRPr="00681EE6">
        <w:rPr>
          <w:rFonts w:ascii="Calibri" w:hAnsi="Calibri" w:cs="Times New Roman"/>
          <w:noProof/>
          <w:szCs w:val="24"/>
        </w:rPr>
        <w:t>(8), 934–950. http://doi.org/10.1016/j.polgeo.2007.10.001</w:t>
      </w:r>
    </w:p>
    <w:p w14:paraId="13FA221D"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Ashe, F. (2009). Iris Robinson’s Excitable Speech: Sexuality and Conflict Transformation in Northern Ireland. </w:t>
      </w:r>
      <w:r w:rsidRPr="00681EE6">
        <w:rPr>
          <w:rFonts w:ascii="Calibri" w:hAnsi="Calibri" w:cs="Times New Roman"/>
          <w:i/>
          <w:iCs/>
          <w:noProof/>
          <w:szCs w:val="24"/>
        </w:rPr>
        <w:t>Politics</w:t>
      </w:r>
      <w:r w:rsidRPr="00681EE6">
        <w:rPr>
          <w:rFonts w:ascii="Calibri" w:hAnsi="Calibri" w:cs="Times New Roman"/>
          <w:noProof/>
          <w:szCs w:val="24"/>
        </w:rPr>
        <w:t xml:space="preserve">, </w:t>
      </w:r>
      <w:r w:rsidRPr="00681EE6">
        <w:rPr>
          <w:rFonts w:ascii="Calibri" w:hAnsi="Calibri" w:cs="Times New Roman"/>
          <w:i/>
          <w:iCs/>
          <w:noProof/>
          <w:szCs w:val="24"/>
        </w:rPr>
        <w:t>29</w:t>
      </w:r>
      <w:r w:rsidRPr="00681EE6">
        <w:rPr>
          <w:rFonts w:ascii="Calibri" w:hAnsi="Calibri" w:cs="Times New Roman"/>
          <w:noProof/>
          <w:szCs w:val="24"/>
        </w:rPr>
        <w:t>(1), 20–27.</w:t>
      </w:r>
    </w:p>
    <w:p w14:paraId="7DFB67BB"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681EE6">
        <w:rPr>
          <w:rFonts w:ascii="Calibri" w:hAnsi="Calibri" w:cs="Times New Roman"/>
          <w:i/>
          <w:iCs/>
          <w:noProof/>
          <w:szCs w:val="24"/>
        </w:rPr>
        <w:t>Irish Political Studies</w:t>
      </w:r>
      <w:r w:rsidRPr="00681EE6">
        <w:rPr>
          <w:rFonts w:ascii="Calibri" w:hAnsi="Calibri" w:cs="Times New Roman"/>
          <w:noProof/>
          <w:szCs w:val="24"/>
        </w:rPr>
        <w:t xml:space="preserve">, </w:t>
      </w:r>
      <w:r w:rsidRPr="00681EE6">
        <w:rPr>
          <w:rFonts w:ascii="Calibri" w:hAnsi="Calibri" w:cs="Times New Roman"/>
          <w:i/>
          <w:iCs/>
          <w:noProof/>
          <w:szCs w:val="24"/>
        </w:rPr>
        <w:t>23</w:t>
      </w:r>
      <w:r w:rsidRPr="00681EE6">
        <w:rPr>
          <w:rFonts w:ascii="Calibri" w:hAnsi="Calibri" w:cs="Times New Roman"/>
          <w:noProof/>
          <w:szCs w:val="24"/>
        </w:rPr>
        <w:t>(3), 387–409. http://doi.org/10.1080/07907180802246719</w:t>
      </w:r>
    </w:p>
    <w:p w14:paraId="30C76FCA"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Curran, P. S. (2001). Psychiatric implications of chronic civilian strife or war: Northern Ireland. </w:t>
      </w:r>
      <w:r w:rsidRPr="00681EE6">
        <w:rPr>
          <w:rFonts w:ascii="Calibri" w:hAnsi="Calibri" w:cs="Times New Roman"/>
          <w:i/>
          <w:iCs/>
          <w:noProof/>
          <w:szCs w:val="24"/>
        </w:rPr>
        <w:t>Advances in Psychiatric Treatment</w:t>
      </w:r>
      <w:r w:rsidRPr="00681EE6">
        <w:rPr>
          <w:rFonts w:ascii="Calibri" w:hAnsi="Calibri" w:cs="Times New Roman"/>
          <w:noProof/>
          <w:szCs w:val="24"/>
        </w:rPr>
        <w:t xml:space="preserve">, </w:t>
      </w:r>
      <w:r w:rsidRPr="00681EE6">
        <w:rPr>
          <w:rFonts w:ascii="Calibri" w:hAnsi="Calibri" w:cs="Times New Roman"/>
          <w:i/>
          <w:iCs/>
          <w:noProof/>
          <w:szCs w:val="24"/>
        </w:rPr>
        <w:t>7</w:t>
      </w:r>
      <w:r w:rsidRPr="00681EE6">
        <w:rPr>
          <w:rFonts w:ascii="Calibri" w:hAnsi="Calibri" w:cs="Times New Roman"/>
          <w:noProof/>
          <w:szCs w:val="24"/>
        </w:rPr>
        <w:t>(1), 73–80. http://doi.org/10.1192/apt.7.1.73</w:t>
      </w:r>
    </w:p>
    <w:p w14:paraId="6E185FC9"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Durkheim, E. (1951). Suicide, a study in sociology. </w:t>
      </w:r>
      <w:r w:rsidRPr="00681EE6">
        <w:rPr>
          <w:rFonts w:ascii="Calibri" w:hAnsi="Calibri" w:cs="Times New Roman"/>
          <w:i/>
          <w:iCs/>
          <w:noProof/>
          <w:szCs w:val="24"/>
        </w:rPr>
        <w:t>New York Free Press</w:t>
      </w:r>
      <w:r w:rsidRPr="00681EE6">
        <w:rPr>
          <w:rFonts w:ascii="Calibri" w:hAnsi="Calibri" w:cs="Times New Roman"/>
          <w:noProof/>
          <w:szCs w:val="24"/>
        </w:rPr>
        <w:t xml:space="preserve">, </w:t>
      </w:r>
      <w:r w:rsidRPr="00681EE6">
        <w:rPr>
          <w:rFonts w:ascii="Calibri" w:hAnsi="Calibri" w:cs="Times New Roman"/>
          <w:i/>
          <w:iCs/>
          <w:noProof/>
          <w:szCs w:val="24"/>
        </w:rPr>
        <w:t>3</w:t>
      </w:r>
      <w:r w:rsidRPr="00681EE6">
        <w:rPr>
          <w:rFonts w:ascii="Calibri" w:hAnsi="Calibri" w:cs="Times New Roman"/>
          <w:noProof/>
          <w:szCs w:val="24"/>
        </w:rPr>
        <w:t xml:space="preserve">, 405. </w:t>
      </w:r>
      <w:r w:rsidRPr="00681EE6">
        <w:rPr>
          <w:rFonts w:ascii="Calibri" w:hAnsi="Calibri" w:cs="Times New Roman"/>
          <w:noProof/>
          <w:szCs w:val="24"/>
        </w:rPr>
        <w:lastRenderedPageBreak/>
        <w:t>http://doi.org/10.2307/2088294</w:t>
      </w:r>
    </w:p>
    <w:p w14:paraId="381FA632"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Findley, M. G. (2008). Agents and conflict: Adaptation and the dynamics of war. </w:t>
      </w:r>
      <w:r w:rsidRPr="00681EE6">
        <w:rPr>
          <w:rFonts w:ascii="Calibri" w:hAnsi="Calibri" w:cs="Times New Roman"/>
          <w:i/>
          <w:iCs/>
          <w:noProof/>
          <w:szCs w:val="24"/>
        </w:rPr>
        <w:t>Complexity</w:t>
      </w:r>
      <w:r w:rsidRPr="00681EE6">
        <w:rPr>
          <w:rFonts w:ascii="Calibri" w:hAnsi="Calibri" w:cs="Times New Roman"/>
          <w:noProof/>
          <w:szCs w:val="24"/>
        </w:rPr>
        <w:t xml:space="preserve">, </w:t>
      </w:r>
      <w:r w:rsidRPr="00681EE6">
        <w:rPr>
          <w:rFonts w:ascii="Calibri" w:hAnsi="Calibri" w:cs="Times New Roman"/>
          <w:i/>
          <w:iCs/>
          <w:noProof/>
          <w:szCs w:val="24"/>
        </w:rPr>
        <w:t>14</w:t>
      </w:r>
      <w:r w:rsidRPr="00681EE6">
        <w:rPr>
          <w:rFonts w:ascii="Calibri" w:hAnsi="Calibri" w:cs="Times New Roman"/>
          <w:noProof/>
          <w:szCs w:val="24"/>
        </w:rPr>
        <w:t>(1), 22–35. http://doi.org/10.1002/cplx.20232</w:t>
      </w:r>
    </w:p>
    <w:p w14:paraId="31378F87"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Gerike, R., de Nazelle, A., Nieuwenhuijsen, M., Panis, L. I., Anaya, E., Avila-Palencia, I., … Götschi, T. (2016). Physical Activity through Sustainable Transport Approaches (PASTA): a study protocol for a multicentre project. </w:t>
      </w:r>
      <w:r w:rsidRPr="00681EE6">
        <w:rPr>
          <w:rFonts w:ascii="Calibri" w:hAnsi="Calibri" w:cs="Times New Roman"/>
          <w:i/>
          <w:iCs/>
          <w:noProof/>
          <w:szCs w:val="24"/>
        </w:rPr>
        <w:t>BMJ Open</w:t>
      </w:r>
      <w:r w:rsidRPr="00681EE6">
        <w:rPr>
          <w:rFonts w:ascii="Calibri" w:hAnsi="Calibri" w:cs="Times New Roman"/>
          <w:noProof/>
          <w:szCs w:val="24"/>
        </w:rPr>
        <w:t xml:space="preserve">, </w:t>
      </w:r>
      <w:r w:rsidRPr="00681EE6">
        <w:rPr>
          <w:rFonts w:ascii="Calibri" w:hAnsi="Calibri" w:cs="Times New Roman"/>
          <w:i/>
          <w:iCs/>
          <w:noProof/>
          <w:szCs w:val="24"/>
        </w:rPr>
        <w:t>6</w:t>
      </w:r>
      <w:r w:rsidRPr="00681EE6">
        <w:rPr>
          <w:rFonts w:ascii="Calibri" w:hAnsi="Calibri" w:cs="Times New Roman"/>
          <w:noProof/>
          <w:szCs w:val="24"/>
        </w:rPr>
        <w:t>(1), e009924. http://doi.org/10.1136/bmjopen-2015-009924</w:t>
      </w:r>
    </w:p>
    <w:p w14:paraId="3B89ECD5"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Goddard, S. E. (2012). Brokering Peace: Networks, Legitimacy, and the Northern Ireland Peace Process. </w:t>
      </w:r>
      <w:r w:rsidRPr="00681EE6">
        <w:rPr>
          <w:rFonts w:ascii="Calibri" w:hAnsi="Calibri" w:cs="Times New Roman"/>
          <w:i/>
          <w:iCs/>
          <w:noProof/>
          <w:szCs w:val="24"/>
        </w:rPr>
        <w:t>International Studies Quarterly</w:t>
      </w:r>
      <w:r w:rsidRPr="00681EE6">
        <w:rPr>
          <w:rFonts w:ascii="Calibri" w:hAnsi="Calibri" w:cs="Times New Roman"/>
          <w:noProof/>
          <w:szCs w:val="24"/>
        </w:rPr>
        <w:t xml:space="preserve">, </w:t>
      </w:r>
      <w:r w:rsidRPr="00681EE6">
        <w:rPr>
          <w:rFonts w:ascii="Calibri" w:hAnsi="Calibri" w:cs="Times New Roman"/>
          <w:i/>
          <w:iCs/>
          <w:noProof/>
          <w:szCs w:val="24"/>
        </w:rPr>
        <w:t>56</w:t>
      </w:r>
      <w:r w:rsidRPr="00681EE6">
        <w:rPr>
          <w:rFonts w:ascii="Calibri" w:hAnsi="Calibri" w:cs="Times New Roman"/>
          <w:noProof/>
          <w:szCs w:val="24"/>
        </w:rPr>
        <w:t>(3), 501–515. http://doi.org/10.1111/j.1468-2478.2012.00737.x</w:t>
      </w:r>
    </w:p>
    <w:p w14:paraId="354F8976"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Karari, P., Byrne, S., Skarlato, O., Ahmed, K., &amp; Hyde, J. M. (2013). The role of external economic assistance in nurturing cross-community contact and reconciliation in Northern Ireland and the Border Counties. </w:t>
      </w:r>
      <w:r w:rsidRPr="00681EE6">
        <w:rPr>
          <w:rFonts w:ascii="Calibri" w:hAnsi="Calibri" w:cs="Times New Roman"/>
          <w:i/>
          <w:iCs/>
          <w:noProof/>
          <w:szCs w:val="24"/>
        </w:rPr>
        <w:t>Community Development Journal</w:t>
      </w:r>
      <w:r w:rsidRPr="00681EE6">
        <w:rPr>
          <w:rFonts w:ascii="Calibri" w:hAnsi="Calibri" w:cs="Times New Roman"/>
          <w:noProof/>
          <w:szCs w:val="24"/>
        </w:rPr>
        <w:t xml:space="preserve">, </w:t>
      </w:r>
      <w:r w:rsidRPr="00681EE6">
        <w:rPr>
          <w:rFonts w:ascii="Calibri" w:hAnsi="Calibri" w:cs="Times New Roman"/>
          <w:i/>
          <w:iCs/>
          <w:noProof/>
          <w:szCs w:val="24"/>
        </w:rPr>
        <w:t>48</w:t>
      </w:r>
      <w:r w:rsidRPr="00681EE6">
        <w:rPr>
          <w:rFonts w:ascii="Calibri" w:hAnsi="Calibri" w:cs="Times New Roman"/>
          <w:noProof/>
          <w:szCs w:val="24"/>
        </w:rPr>
        <w:t>(4), 587–604. http://doi.org/10.1093/cdj/bss054</w:t>
      </w:r>
    </w:p>
    <w:p w14:paraId="475944CA"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Leonard, M. (2004). Bonding and bridging social capital: Reflections from Belfast. </w:t>
      </w:r>
      <w:r w:rsidRPr="00681EE6">
        <w:rPr>
          <w:rFonts w:ascii="Calibri" w:hAnsi="Calibri" w:cs="Times New Roman"/>
          <w:i/>
          <w:iCs/>
          <w:noProof/>
          <w:szCs w:val="24"/>
        </w:rPr>
        <w:t>Sociology-the Journal of the British Sociological Association</w:t>
      </w:r>
      <w:r w:rsidRPr="00681EE6">
        <w:rPr>
          <w:rFonts w:ascii="Calibri" w:hAnsi="Calibri" w:cs="Times New Roman"/>
          <w:noProof/>
          <w:szCs w:val="24"/>
        </w:rPr>
        <w:t xml:space="preserve">, </w:t>
      </w:r>
      <w:r w:rsidRPr="00681EE6">
        <w:rPr>
          <w:rFonts w:ascii="Calibri" w:hAnsi="Calibri" w:cs="Times New Roman"/>
          <w:i/>
          <w:iCs/>
          <w:noProof/>
          <w:szCs w:val="24"/>
        </w:rPr>
        <w:t>38</w:t>
      </w:r>
      <w:r w:rsidRPr="00681EE6">
        <w:rPr>
          <w:rFonts w:ascii="Calibri" w:hAnsi="Calibri" w:cs="Times New Roman"/>
          <w:noProof/>
          <w:szCs w:val="24"/>
        </w:rPr>
        <w:t>(5), 927–944.</w:t>
      </w:r>
    </w:p>
    <w:p w14:paraId="46B0D9D1"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Lester, D. (2002). The “troubles” in Northern Ireland and suicide. </w:t>
      </w:r>
      <w:r w:rsidRPr="00681EE6">
        <w:rPr>
          <w:rFonts w:ascii="Calibri" w:hAnsi="Calibri" w:cs="Times New Roman"/>
          <w:i/>
          <w:iCs/>
          <w:noProof/>
          <w:szCs w:val="24"/>
        </w:rPr>
        <w:t>Psychological Reports</w:t>
      </w:r>
      <w:r w:rsidRPr="00681EE6">
        <w:rPr>
          <w:rFonts w:ascii="Calibri" w:hAnsi="Calibri" w:cs="Times New Roman"/>
          <w:noProof/>
          <w:szCs w:val="24"/>
        </w:rPr>
        <w:t xml:space="preserve">, </w:t>
      </w:r>
      <w:r w:rsidRPr="00681EE6">
        <w:rPr>
          <w:rFonts w:ascii="Calibri" w:hAnsi="Calibri" w:cs="Times New Roman"/>
          <w:i/>
          <w:iCs/>
          <w:noProof/>
          <w:szCs w:val="24"/>
        </w:rPr>
        <w:t>90</w:t>
      </w:r>
      <w:r w:rsidRPr="00681EE6">
        <w:rPr>
          <w:rFonts w:ascii="Calibri" w:hAnsi="Calibri" w:cs="Times New Roman"/>
          <w:noProof/>
          <w:szCs w:val="24"/>
        </w:rPr>
        <w:t>(3), 722.</w:t>
      </w:r>
    </w:p>
    <w:p w14:paraId="09A0F800"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McDowell, S. (2008). Selling Conflict Heritage through Tourism in Peacetime Northern Ireland: Transforming Conflict or Exacerbating Difference? </w:t>
      </w:r>
      <w:r w:rsidRPr="00681EE6">
        <w:rPr>
          <w:rFonts w:ascii="Calibri" w:hAnsi="Calibri" w:cs="Times New Roman"/>
          <w:i/>
          <w:iCs/>
          <w:noProof/>
          <w:szCs w:val="24"/>
        </w:rPr>
        <w:t>International Journal of Heritage Studies</w:t>
      </w:r>
      <w:r w:rsidRPr="00681EE6">
        <w:rPr>
          <w:rFonts w:ascii="Calibri" w:hAnsi="Calibri" w:cs="Times New Roman"/>
          <w:noProof/>
          <w:szCs w:val="24"/>
        </w:rPr>
        <w:t xml:space="preserve">, </w:t>
      </w:r>
      <w:r w:rsidRPr="00681EE6">
        <w:rPr>
          <w:rFonts w:ascii="Calibri" w:hAnsi="Calibri" w:cs="Times New Roman"/>
          <w:i/>
          <w:iCs/>
          <w:noProof/>
          <w:szCs w:val="24"/>
        </w:rPr>
        <w:t>14</w:t>
      </w:r>
      <w:r w:rsidRPr="00681EE6">
        <w:rPr>
          <w:rFonts w:ascii="Calibri" w:hAnsi="Calibri" w:cs="Times New Roman"/>
          <w:noProof/>
          <w:szCs w:val="24"/>
        </w:rPr>
        <w:t>(5), 405–421. http://doi.org/10.1080/13527250802284859</w:t>
      </w:r>
    </w:p>
    <w:p w14:paraId="7F56E001"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McGlynn, C., Tonge, J., &amp; McAuley, J. (2014). The Party Politics of Post-Devolution Identity in Northern Ireland. </w:t>
      </w:r>
      <w:r w:rsidRPr="00681EE6">
        <w:rPr>
          <w:rFonts w:ascii="Calibri" w:hAnsi="Calibri" w:cs="Times New Roman"/>
          <w:i/>
          <w:iCs/>
          <w:noProof/>
          <w:szCs w:val="24"/>
        </w:rPr>
        <w:t>The British Journal of Politics and International Relations</w:t>
      </w:r>
      <w:r w:rsidRPr="00681EE6">
        <w:rPr>
          <w:rFonts w:ascii="Calibri" w:hAnsi="Calibri" w:cs="Times New Roman"/>
          <w:noProof/>
          <w:szCs w:val="24"/>
        </w:rPr>
        <w:t xml:space="preserve">, </w:t>
      </w:r>
      <w:r w:rsidRPr="00681EE6">
        <w:rPr>
          <w:rFonts w:ascii="Calibri" w:hAnsi="Calibri" w:cs="Times New Roman"/>
          <w:i/>
          <w:iCs/>
          <w:noProof/>
          <w:szCs w:val="24"/>
        </w:rPr>
        <w:t>16</w:t>
      </w:r>
      <w:r w:rsidRPr="00681EE6">
        <w:rPr>
          <w:rFonts w:ascii="Calibri" w:hAnsi="Calibri" w:cs="Times New Roman"/>
          <w:noProof/>
          <w:szCs w:val="24"/>
        </w:rPr>
        <w:t>(2), 273–290. http://doi.org/10.1111/j.1467-856X.2012.00528.x</w:t>
      </w:r>
    </w:p>
    <w:p w14:paraId="42DC758F"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lastRenderedPageBreak/>
        <w:t xml:space="preserve">Menand, L. (2009). The Metaphysical Club. </w:t>
      </w:r>
      <w:r w:rsidRPr="00681EE6">
        <w:rPr>
          <w:rFonts w:ascii="Calibri" w:hAnsi="Calibri" w:cs="Times New Roman"/>
          <w:i/>
          <w:iCs/>
          <w:noProof/>
          <w:szCs w:val="24"/>
        </w:rPr>
        <w:t>Harvard Library Bulletin</w:t>
      </w:r>
      <w:r w:rsidRPr="00681EE6">
        <w:rPr>
          <w:rFonts w:ascii="Calibri" w:hAnsi="Calibri" w:cs="Times New Roman"/>
          <w:noProof/>
          <w:szCs w:val="24"/>
        </w:rPr>
        <w:t xml:space="preserve">, </w:t>
      </w:r>
      <w:r w:rsidRPr="00681EE6">
        <w:rPr>
          <w:rFonts w:ascii="Calibri" w:hAnsi="Calibri" w:cs="Times New Roman"/>
          <w:i/>
          <w:iCs/>
          <w:noProof/>
          <w:szCs w:val="24"/>
        </w:rPr>
        <w:t>20</w:t>
      </w:r>
      <w:r w:rsidRPr="00681EE6">
        <w:rPr>
          <w:rFonts w:ascii="Calibri" w:hAnsi="Calibri" w:cs="Times New Roman"/>
          <w:noProof/>
          <w:szCs w:val="24"/>
        </w:rPr>
        <w:t>(2), 22–23.</w:t>
      </w:r>
    </w:p>
    <w:p w14:paraId="1E96B7B5"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Merton, R. (1968). </w:t>
      </w:r>
      <w:r w:rsidRPr="00681EE6">
        <w:rPr>
          <w:rFonts w:ascii="Calibri" w:hAnsi="Calibri" w:cs="Times New Roman"/>
          <w:i/>
          <w:iCs/>
          <w:noProof/>
          <w:szCs w:val="24"/>
        </w:rPr>
        <w:t>Social Theory and Social Structure</w:t>
      </w:r>
      <w:r w:rsidRPr="00681EE6">
        <w:rPr>
          <w:rFonts w:ascii="Calibri" w:hAnsi="Calibri" w:cs="Times New Roman"/>
          <w:noProof/>
          <w:szCs w:val="24"/>
        </w:rPr>
        <w:t>. New York: Free Press.</w:t>
      </w:r>
    </w:p>
    <w:p w14:paraId="17125C8B"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Minton, J. (2014). Real geographies and virtual landscapes: Exploring the influence on place and space on mortality Lexis surfaces using shaded contour maps. </w:t>
      </w:r>
      <w:r w:rsidRPr="00681EE6">
        <w:rPr>
          <w:rFonts w:ascii="Calibri" w:hAnsi="Calibri" w:cs="Times New Roman"/>
          <w:i/>
          <w:iCs/>
          <w:noProof/>
          <w:szCs w:val="24"/>
        </w:rPr>
        <w:t>Spatial and Spatio-Temporal Epidemiology</w:t>
      </w:r>
      <w:r w:rsidRPr="00681EE6">
        <w:rPr>
          <w:rFonts w:ascii="Calibri" w:hAnsi="Calibri" w:cs="Times New Roman"/>
          <w:noProof/>
          <w:szCs w:val="24"/>
        </w:rPr>
        <w:t xml:space="preserve">, </w:t>
      </w:r>
      <w:r w:rsidRPr="00681EE6">
        <w:rPr>
          <w:rFonts w:ascii="Calibri" w:hAnsi="Calibri" w:cs="Times New Roman"/>
          <w:i/>
          <w:iCs/>
          <w:noProof/>
          <w:szCs w:val="24"/>
        </w:rPr>
        <w:t>10</w:t>
      </w:r>
      <w:r w:rsidRPr="00681EE6">
        <w:rPr>
          <w:rFonts w:ascii="Calibri" w:hAnsi="Calibri" w:cs="Times New Roman"/>
          <w:noProof/>
          <w:szCs w:val="24"/>
        </w:rPr>
        <w:t>, 49–66. http://doi.org/10.1016/j.sste.2014.04.003</w:t>
      </w:r>
    </w:p>
    <w:p w14:paraId="36750668"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Minton, J., Shaw, R., Green, M. A., Vanderbloemen, L., Popham, F., &amp; McCartney, G. (2017). Visualising and quantifying “excess deaths” in Scotland compared with the rest of the UK and the rest of Western Europe. </w:t>
      </w:r>
      <w:r w:rsidRPr="00681EE6">
        <w:rPr>
          <w:rFonts w:ascii="Calibri" w:hAnsi="Calibri" w:cs="Times New Roman"/>
          <w:i/>
          <w:iCs/>
          <w:noProof/>
          <w:szCs w:val="24"/>
        </w:rPr>
        <w:t>Journal of Epidemiology and Community Health</w:t>
      </w:r>
      <w:r w:rsidRPr="00681EE6">
        <w:rPr>
          <w:rFonts w:ascii="Calibri" w:hAnsi="Calibri" w:cs="Times New Roman"/>
          <w:noProof/>
          <w:szCs w:val="24"/>
        </w:rPr>
        <w:t xml:space="preserve">, </w:t>
      </w:r>
      <w:r w:rsidRPr="00681EE6">
        <w:rPr>
          <w:rFonts w:ascii="Calibri" w:hAnsi="Calibri" w:cs="Times New Roman"/>
          <w:i/>
          <w:iCs/>
          <w:noProof/>
          <w:szCs w:val="24"/>
        </w:rPr>
        <w:t>71</w:t>
      </w:r>
      <w:r w:rsidRPr="00681EE6">
        <w:rPr>
          <w:rFonts w:ascii="Calibri" w:hAnsi="Calibri" w:cs="Times New Roman"/>
          <w:noProof/>
          <w:szCs w:val="24"/>
        </w:rPr>
        <w:t>(5), 461–467. http://doi.org/10.1136/jech-2016-207379</w:t>
      </w:r>
    </w:p>
    <w:p w14:paraId="42838951"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Murtagh, C. (2015). Reaching across: institutional barriers to cross-ethnic parties in post-conflict societies and the case of Northern Ireland. </w:t>
      </w:r>
      <w:r w:rsidRPr="00681EE6">
        <w:rPr>
          <w:rFonts w:ascii="Calibri" w:hAnsi="Calibri" w:cs="Times New Roman"/>
          <w:i/>
          <w:iCs/>
          <w:noProof/>
          <w:szCs w:val="24"/>
        </w:rPr>
        <w:t>Nations and Nationalism</w:t>
      </w:r>
      <w:r w:rsidRPr="00681EE6">
        <w:rPr>
          <w:rFonts w:ascii="Calibri" w:hAnsi="Calibri" w:cs="Times New Roman"/>
          <w:noProof/>
          <w:szCs w:val="24"/>
        </w:rPr>
        <w:t xml:space="preserve">, </w:t>
      </w:r>
      <w:r w:rsidRPr="00681EE6">
        <w:rPr>
          <w:rFonts w:ascii="Calibri" w:hAnsi="Calibri" w:cs="Times New Roman"/>
          <w:i/>
          <w:iCs/>
          <w:noProof/>
          <w:szCs w:val="24"/>
        </w:rPr>
        <w:t>21</w:t>
      </w:r>
      <w:r w:rsidRPr="00681EE6">
        <w:rPr>
          <w:rFonts w:ascii="Calibri" w:hAnsi="Calibri" w:cs="Times New Roman"/>
          <w:noProof/>
          <w:szCs w:val="24"/>
        </w:rPr>
        <w:t>(3), 544–565. http://doi.org/10.1111/nana.12129</w:t>
      </w:r>
    </w:p>
    <w:p w14:paraId="4B37B17B"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R Core Team. (2016). R: A language and environment for statistical computing. Vienna, Austria: Foundation for Statistical Computing,. Retrieved from https://www.r-project.org/</w:t>
      </w:r>
    </w:p>
    <w:p w14:paraId="32A09958"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Schmid, K., Hewstone, M., &amp; Tausch, N. (2014). Secondary transfer effects of intergroup contact via social identity complexity. </w:t>
      </w:r>
      <w:r w:rsidRPr="00681EE6">
        <w:rPr>
          <w:rFonts w:ascii="Calibri" w:hAnsi="Calibri" w:cs="Times New Roman"/>
          <w:i/>
          <w:iCs/>
          <w:noProof/>
          <w:szCs w:val="24"/>
        </w:rPr>
        <w:t>The British Journal of Social Psychology</w:t>
      </w:r>
      <w:r w:rsidRPr="00681EE6">
        <w:rPr>
          <w:rFonts w:ascii="Calibri" w:hAnsi="Calibri" w:cs="Times New Roman"/>
          <w:noProof/>
          <w:szCs w:val="24"/>
        </w:rPr>
        <w:t xml:space="preserve">, </w:t>
      </w:r>
      <w:r w:rsidRPr="00681EE6">
        <w:rPr>
          <w:rFonts w:ascii="Calibri" w:hAnsi="Calibri" w:cs="Times New Roman"/>
          <w:i/>
          <w:iCs/>
          <w:noProof/>
          <w:szCs w:val="24"/>
        </w:rPr>
        <w:t>53</w:t>
      </w:r>
      <w:r w:rsidRPr="00681EE6">
        <w:rPr>
          <w:rFonts w:ascii="Calibri" w:hAnsi="Calibri" w:cs="Times New Roman"/>
          <w:noProof/>
          <w:szCs w:val="24"/>
        </w:rPr>
        <w:t>(3), 443–62. http://doi.org/10.1111/bjso.12045</w:t>
      </w:r>
    </w:p>
    <w:p w14:paraId="5627A0C1"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Smyth, M. (1998). </w:t>
      </w:r>
      <w:r w:rsidRPr="00681EE6">
        <w:rPr>
          <w:rFonts w:ascii="Calibri" w:hAnsi="Calibri" w:cs="Times New Roman"/>
          <w:i/>
          <w:iCs/>
          <w:noProof/>
          <w:szCs w:val="24"/>
        </w:rPr>
        <w:t>Half the Battle: Understanding the impact of “the Troubles” on children and young people</w:t>
      </w:r>
      <w:r w:rsidRPr="00681EE6">
        <w:rPr>
          <w:rFonts w:ascii="Calibri" w:hAnsi="Calibri" w:cs="Times New Roman"/>
          <w:noProof/>
          <w:szCs w:val="24"/>
        </w:rPr>
        <w:t>. Derry: INCORE. Retrieved from http://cain.ulst.ac.uk/issues/violence/cts/smyth1.htm</w:t>
      </w:r>
    </w:p>
    <w:p w14:paraId="494EF982"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Tausch, N., Hewstone, M., Kenworthy, J. B., Psaltis, C., Schmid, K., Popan, J. R., … Hughes, J. (2010). Secondary transfer effects of intergroup contact: Alternative accounts and underlying processes. </w:t>
      </w:r>
      <w:r w:rsidRPr="00681EE6">
        <w:rPr>
          <w:rFonts w:ascii="Calibri" w:hAnsi="Calibri" w:cs="Times New Roman"/>
          <w:i/>
          <w:iCs/>
          <w:noProof/>
          <w:szCs w:val="24"/>
        </w:rPr>
        <w:t>Journal of Personality and Social Psychology</w:t>
      </w:r>
      <w:r w:rsidRPr="00681EE6">
        <w:rPr>
          <w:rFonts w:ascii="Calibri" w:hAnsi="Calibri" w:cs="Times New Roman"/>
          <w:noProof/>
          <w:szCs w:val="24"/>
        </w:rPr>
        <w:t xml:space="preserve">, </w:t>
      </w:r>
      <w:r w:rsidRPr="00681EE6">
        <w:rPr>
          <w:rFonts w:ascii="Calibri" w:hAnsi="Calibri" w:cs="Times New Roman"/>
          <w:i/>
          <w:iCs/>
          <w:noProof/>
          <w:szCs w:val="24"/>
        </w:rPr>
        <w:t>99</w:t>
      </w:r>
      <w:r w:rsidRPr="00681EE6">
        <w:rPr>
          <w:rFonts w:ascii="Calibri" w:hAnsi="Calibri" w:cs="Times New Roman"/>
          <w:noProof/>
          <w:szCs w:val="24"/>
        </w:rPr>
        <w:t>(2), 282–302. http://doi.org/10.1037/a0018553</w:t>
      </w:r>
    </w:p>
    <w:p w14:paraId="75C6D18E"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lastRenderedPageBreak/>
        <w:t xml:space="preserve">Thornton, R. (2007). Getting it Wrong: The Crucial Mistakes Made in the Early Stages of the British Army’s Deployment to Northern Ireland (August 1969 to March 1972). </w:t>
      </w:r>
      <w:r w:rsidRPr="00681EE6">
        <w:rPr>
          <w:rFonts w:ascii="Calibri" w:hAnsi="Calibri" w:cs="Times New Roman"/>
          <w:i/>
          <w:iCs/>
          <w:noProof/>
          <w:szCs w:val="24"/>
        </w:rPr>
        <w:t>Journal of Strategic Studies</w:t>
      </w:r>
      <w:r w:rsidRPr="00681EE6">
        <w:rPr>
          <w:rFonts w:ascii="Calibri" w:hAnsi="Calibri" w:cs="Times New Roman"/>
          <w:noProof/>
          <w:szCs w:val="24"/>
        </w:rPr>
        <w:t xml:space="preserve">, </w:t>
      </w:r>
      <w:r w:rsidRPr="00681EE6">
        <w:rPr>
          <w:rFonts w:ascii="Calibri" w:hAnsi="Calibri" w:cs="Times New Roman"/>
          <w:i/>
          <w:iCs/>
          <w:noProof/>
          <w:szCs w:val="24"/>
        </w:rPr>
        <w:t>30</w:t>
      </w:r>
      <w:r w:rsidRPr="00681EE6">
        <w:rPr>
          <w:rFonts w:ascii="Calibri" w:hAnsi="Calibri" w:cs="Times New Roman"/>
          <w:noProof/>
          <w:szCs w:val="24"/>
        </w:rPr>
        <w:t>(1), 73–107. http://doi.org/10.1080/01402390701210848</w:t>
      </w:r>
    </w:p>
    <w:p w14:paraId="676232EA"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Turchin, P., &amp; Gavrilets, S. (2009). Evolution of Complex Hierarchical Societies. </w:t>
      </w:r>
      <w:r w:rsidRPr="00681EE6">
        <w:rPr>
          <w:rFonts w:ascii="Calibri" w:hAnsi="Calibri" w:cs="Times New Roman"/>
          <w:i/>
          <w:iCs/>
          <w:noProof/>
          <w:szCs w:val="24"/>
        </w:rPr>
        <w:t>Social Evolution &amp; History</w:t>
      </w:r>
      <w:r w:rsidRPr="00681EE6">
        <w:rPr>
          <w:rFonts w:ascii="Calibri" w:hAnsi="Calibri" w:cs="Times New Roman"/>
          <w:noProof/>
          <w:szCs w:val="24"/>
        </w:rPr>
        <w:t xml:space="preserve">, </w:t>
      </w:r>
      <w:r w:rsidRPr="00681EE6">
        <w:rPr>
          <w:rFonts w:ascii="Calibri" w:hAnsi="Calibri" w:cs="Times New Roman"/>
          <w:i/>
          <w:iCs/>
          <w:noProof/>
          <w:szCs w:val="24"/>
        </w:rPr>
        <w:t>8</w:t>
      </w:r>
      <w:r w:rsidRPr="00681EE6">
        <w:rPr>
          <w:rFonts w:ascii="Calibri" w:hAnsi="Calibri" w:cs="Times New Roman"/>
          <w:noProof/>
          <w:szCs w:val="24"/>
        </w:rPr>
        <w:t>(2), 167–198.</w:t>
      </w:r>
    </w:p>
    <w:p w14:paraId="3D481E70"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University of California, B. (USA); M. P. I. for D. R. (Germany). (2017). Human Mortality Database. Retrieved June 13, 2017, from www.mortality.org</w:t>
      </w:r>
    </w:p>
    <w:p w14:paraId="12C489F4"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Vaupel, J. W., Wang, Z., Andreev, K., &amp; Yashin, A. I. (1997). </w:t>
      </w:r>
      <w:r w:rsidRPr="00681EE6">
        <w:rPr>
          <w:rFonts w:ascii="Calibri" w:hAnsi="Calibri" w:cs="Times New Roman"/>
          <w:i/>
          <w:iCs/>
          <w:noProof/>
          <w:szCs w:val="24"/>
        </w:rPr>
        <w:t>Population Data at a Glance: Shaded Contour Maps of Demographic Surfaces over Age and Time</w:t>
      </w:r>
      <w:r w:rsidRPr="00681EE6">
        <w:rPr>
          <w:rFonts w:ascii="Calibri" w:hAnsi="Calibri" w:cs="Times New Roman"/>
          <w:noProof/>
          <w:szCs w:val="24"/>
        </w:rPr>
        <w:t>. University Press of Southern Denmark. Retrieved from http://www.abebooks.co.uk/servlet/BookDetailsPL?bi=2944819605</w:t>
      </w:r>
    </w:p>
    <w:p w14:paraId="18ED1243" w14:textId="77777777" w:rsidR="00681EE6" w:rsidRPr="00681EE6" w:rsidRDefault="00681EE6" w:rsidP="00681EE6">
      <w:pPr>
        <w:widowControl w:val="0"/>
        <w:autoSpaceDE w:val="0"/>
        <w:autoSpaceDN w:val="0"/>
        <w:adjustRightInd w:val="0"/>
        <w:spacing w:line="480" w:lineRule="auto"/>
        <w:ind w:left="480" w:hanging="480"/>
        <w:rPr>
          <w:rFonts w:ascii="Calibri" w:hAnsi="Calibri"/>
          <w:noProof/>
        </w:rPr>
      </w:pPr>
      <w:r w:rsidRPr="00681EE6">
        <w:rPr>
          <w:rFonts w:ascii="Calibri" w:hAnsi="Calibri" w:cs="Times New Roman"/>
          <w:noProof/>
          <w:szCs w:val="24"/>
        </w:rPr>
        <w:t xml:space="preserve">Wright, S. (2006). A systems approach to analysing sub‐state conflicts. </w:t>
      </w:r>
      <w:r w:rsidRPr="00681EE6">
        <w:rPr>
          <w:rFonts w:ascii="Calibri" w:hAnsi="Calibri" w:cs="Times New Roman"/>
          <w:i/>
          <w:iCs/>
          <w:noProof/>
          <w:szCs w:val="24"/>
        </w:rPr>
        <w:t>Kybernetes</w:t>
      </w:r>
      <w:r w:rsidRPr="00681EE6">
        <w:rPr>
          <w:rFonts w:ascii="Calibri" w:hAnsi="Calibri" w:cs="Times New Roman"/>
          <w:noProof/>
          <w:szCs w:val="24"/>
        </w:rPr>
        <w:t xml:space="preserve">, </w:t>
      </w:r>
      <w:r w:rsidRPr="00681EE6">
        <w:rPr>
          <w:rFonts w:ascii="Calibri" w:hAnsi="Calibri" w:cs="Times New Roman"/>
          <w:i/>
          <w:iCs/>
          <w:noProof/>
          <w:szCs w:val="24"/>
        </w:rPr>
        <w:t>35</w:t>
      </w:r>
      <w:r w:rsidRPr="00681EE6">
        <w:rPr>
          <w:rFonts w:ascii="Calibri" w:hAnsi="Calibri" w:cs="Times New Roman"/>
          <w:noProof/>
          <w:szCs w:val="24"/>
        </w:rPr>
        <w:t>(1/2), 182–194. http://doi.org/10.1108/03684920610640308</w:t>
      </w:r>
    </w:p>
    <w:p w14:paraId="68B27265" w14:textId="206D15F7" w:rsidR="00023023" w:rsidRPr="00023023" w:rsidRDefault="00023023" w:rsidP="000B02C5">
      <w:pPr>
        <w:spacing w:line="480" w:lineRule="auto"/>
      </w:pPr>
      <w:r>
        <w:fldChar w:fldCharType="end"/>
      </w:r>
    </w:p>
    <w:sectPr w:rsidR="00023023" w:rsidRPr="000230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9F6CB" w14:textId="77777777" w:rsidR="00445BCD" w:rsidRDefault="00445BCD" w:rsidP="000B02C5">
      <w:pPr>
        <w:spacing w:after="0" w:line="240" w:lineRule="auto"/>
      </w:pPr>
      <w:r>
        <w:separator/>
      </w:r>
    </w:p>
  </w:endnote>
  <w:endnote w:type="continuationSeparator" w:id="0">
    <w:p w14:paraId="26052E29" w14:textId="77777777" w:rsidR="00445BCD" w:rsidRDefault="00445BCD" w:rsidP="000B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618873"/>
      <w:docPartObj>
        <w:docPartGallery w:val="Page Numbers (Bottom of Page)"/>
        <w:docPartUnique/>
      </w:docPartObj>
    </w:sdtPr>
    <w:sdtEndPr>
      <w:rPr>
        <w:noProof/>
      </w:rPr>
    </w:sdtEndPr>
    <w:sdtContent>
      <w:p w14:paraId="388815F7" w14:textId="69366F66" w:rsidR="001840AD" w:rsidRDefault="001840AD">
        <w:pPr>
          <w:pStyle w:val="Footer"/>
          <w:jc w:val="right"/>
        </w:pPr>
        <w:r>
          <w:fldChar w:fldCharType="begin"/>
        </w:r>
        <w:r>
          <w:instrText xml:space="preserve"> PAGE   \* MERGEFORMAT </w:instrText>
        </w:r>
        <w:r>
          <w:fldChar w:fldCharType="separate"/>
        </w:r>
        <w:r w:rsidR="00434456">
          <w:rPr>
            <w:noProof/>
          </w:rPr>
          <w:t>4</w:t>
        </w:r>
        <w:r>
          <w:rPr>
            <w:noProof/>
          </w:rPr>
          <w:fldChar w:fldCharType="end"/>
        </w:r>
      </w:p>
    </w:sdtContent>
  </w:sdt>
  <w:p w14:paraId="1C47D505" w14:textId="77777777" w:rsidR="001840AD" w:rsidRDefault="00184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F6A74" w14:textId="77777777" w:rsidR="00445BCD" w:rsidRDefault="00445BCD" w:rsidP="000B02C5">
      <w:pPr>
        <w:spacing w:after="0" w:line="240" w:lineRule="auto"/>
      </w:pPr>
      <w:r>
        <w:separator/>
      </w:r>
    </w:p>
  </w:footnote>
  <w:footnote w:type="continuationSeparator" w:id="0">
    <w:p w14:paraId="646A6267" w14:textId="77777777" w:rsidR="00445BCD" w:rsidRDefault="00445BCD" w:rsidP="000B0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64C6"/>
    <w:multiLevelType w:val="hybridMultilevel"/>
    <w:tmpl w:val="5F06ED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433147"/>
    <w:multiLevelType w:val="hybridMultilevel"/>
    <w:tmpl w:val="8158B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044023"/>
    <w:rsid w:val="00045603"/>
    <w:rsid w:val="00095E96"/>
    <w:rsid w:val="000B02C5"/>
    <w:rsid w:val="000B2D22"/>
    <w:rsid w:val="000D3EC9"/>
    <w:rsid w:val="000E2BEA"/>
    <w:rsid w:val="0011370C"/>
    <w:rsid w:val="00143745"/>
    <w:rsid w:val="00146D0F"/>
    <w:rsid w:val="001766BE"/>
    <w:rsid w:val="001840AD"/>
    <w:rsid w:val="001B7B4E"/>
    <w:rsid w:val="001C5702"/>
    <w:rsid w:val="001D2C6E"/>
    <w:rsid w:val="001D36B8"/>
    <w:rsid w:val="001D540A"/>
    <w:rsid w:val="001E1856"/>
    <w:rsid w:val="001F1BD8"/>
    <w:rsid w:val="001F32F4"/>
    <w:rsid w:val="00203A77"/>
    <w:rsid w:val="002075EB"/>
    <w:rsid w:val="00226655"/>
    <w:rsid w:val="0024334F"/>
    <w:rsid w:val="00266368"/>
    <w:rsid w:val="00273CFC"/>
    <w:rsid w:val="0029467E"/>
    <w:rsid w:val="002D4A9D"/>
    <w:rsid w:val="002E108B"/>
    <w:rsid w:val="00307E81"/>
    <w:rsid w:val="00322835"/>
    <w:rsid w:val="00327D17"/>
    <w:rsid w:val="003400A5"/>
    <w:rsid w:val="003426AF"/>
    <w:rsid w:val="003455A7"/>
    <w:rsid w:val="003575AB"/>
    <w:rsid w:val="00357EBB"/>
    <w:rsid w:val="003726C0"/>
    <w:rsid w:val="003D0EC1"/>
    <w:rsid w:val="003F3012"/>
    <w:rsid w:val="00412F98"/>
    <w:rsid w:val="0041727A"/>
    <w:rsid w:val="00434456"/>
    <w:rsid w:val="004436DF"/>
    <w:rsid w:val="00445BCD"/>
    <w:rsid w:val="0046718C"/>
    <w:rsid w:val="0049186E"/>
    <w:rsid w:val="004D1C59"/>
    <w:rsid w:val="004F1F5D"/>
    <w:rsid w:val="00500E6F"/>
    <w:rsid w:val="005213D9"/>
    <w:rsid w:val="005223FE"/>
    <w:rsid w:val="005629D3"/>
    <w:rsid w:val="00563F5E"/>
    <w:rsid w:val="005670E4"/>
    <w:rsid w:val="00572441"/>
    <w:rsid w:val="005805CB"/>
    <w:rsid w:val="005B3129"/>
    <w:rsid w:val="005D4F12"/>
    <w:rsid w:val="005E7056"/>
    <w:rsid w:val="005F5990"/>
    <w:rsid w:val="0062486B"/>
    <w:rsid w:val="00657D70"/>
    <w:rsid w:val="006764AA"/>
    <w:rsid w:val="00681EE6"/>
    <w:rsid w:val="006C78A1"/>
    <w:rsid w:val="006D095E"/>
    <w:rsid w:val="006D78AC"/>
    <w:rsid w:val="006E3FB2"/>
    <w:rsid w:val="007029A2"/>
    <w:rsid w:val="00717779"/>
    <w:rsid w:val="00720800"/>
    <w:rsid w:val="007232AE"/>
    <w:rsid w:val="00725DD5"/>
    <w:rsid w:val="00740AF6"/>
    <w:rsid w:val="00757F5B"/>
    <w:rsid w:val="007A159F"/>
    <w:rsid w:val="007A7A42"/>
    <w:rsid w:val="007B2477"/>
    <w:rsid w:val="007F5EF6"/>
    <w:rsid w:val="008001D5"/>
    <w:rsid w:val="008210AD"/>
    <w:rsid w:val="00842964"/>
    <w:rsid w:val="008818FA"/>
    <w:rsid w:val="00897E86"/>
    <w:rsid w:val="008D1A01"/>
    <w:rsid w:val="008E35C0"/>
    <w:rsid w:val="008E371F"/>
    <w:rsid w:val="009140E4"/>
    <w:rsid w:val="00924589"/>
    <w:rsid w:val="009359C6"/>
    <w:rsid w:val="00963867"/>
    <w:rsid w:val="00975750"/>
    <w:rsid w:val="00990874"/>
    <w:rsid w:val="009C0F9D"/>
    <w:rsid w:val="009D1C84"/>
    <w:rsid w:val="00A046D1"/>
    <w:rsid w:val="00A2767A"/>
    <w:rsid w:val="00A30D59"/>
    <w:rsid w:val="00A33838"/>
    <w:rsid w:val="00A7665B"/>
    <w:rsid w:val="00A96270"/>
    <w:rsid w:val="00AD3D51"/>
    <w:rsid w:val="00AF371D"/>
    <w:rsid w:val="00B03DB4"/>
    <w:rsid w:val="00B447E0"/>
    <w:rsid w:val="00C308A5"/>
    <w:rsid w:val="00C371AF"/>
    <w:rsid w:val="00C920BF"/>
    <w:rsid w:val="00C94CE9"/>
    <w:rsid w:val="00CB6062"/>
    <w:rsid w:val="00CC1DA7"/>
    <w:rsid w:val="00CD5496"/>
    <w:rsid w:val="00D0423A"/>
    <w:rsid w:val="00D055BC"/>
    <w:rsid w:val="00D45E71"/>
    <w:rsid w:val="00DC2B06"/>
    <w:rsid w:val="00DF7284"/>
    <w:rsid w:val="00E34348"/>
    <w:rsid w:val="00E37237"/>
    <w:rsid w:val="00EB1C4F"/>
    <w:rsid w:val="00EB4CAE"/>
    <w:rsid w:val="00EC53AF"/>
    <w:rsid w:val="00EE07C7"/>
    <w:rsid w:val="00EF2178"/>
    <w:rsid w:val="00EF78B9"/>
    <w:rsid w:val="00F119C2"/>
    <w:rsid w:val="00F130E9"/>
    <w:rsid w:val="00F1537E"/>
    <w:rsid w:val="00F15547"/>
    <w:rsid w:val="00F33FF6"/>
    <w:rsid w:val="00F350B4"/>
    <w:rsid w:val="00F60885"/>
    <w:rsid w:val="00F6656A"/>
    <w:rsid w:val="00F73E1F"/>
    <w:rsid w:val="00F82DEC"/>
    <w:rsid w:val="00FD52DB"/>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D4F12"/>
    <w:rPr>
      <w:color w:val="808080"/>
    </w:rPr>
  </w:style>
  <w:style w:type="character" w:customStyle="1" w:styleId="Heading3Char">
    <w:name w:val="Heading 3 Char"/>
    <w:basedOn w:val="DefaultParagraphFont"/>
    <w:link w:val="Heading3"/>
    <w:uiPriority w:val="9"/>
    <w:rsid w:val="001B7B4E"/>
    <w:rPr>
      <w:rFonts w:asciiTheme="majorHAnsi" w:eastAsiaTheme="majorEastAsia" w:hAnsiTheme="majorHAnsi" w:cstheme="majorBidi"/>
      <w:color w:val="1F4D78" w:themeColor="accent1" w:themeShade="7F"/>
      <w:sz w:val="24"/>
      <w:szCs w:val="24"/>
    </w:rPr>
  </w:style>
  <w:style w:type="character" w:styleId="LineNumber">
    <w:name w:val="line number"/>
    <w:basedOn w:val="DefaultParagraphFont"/>
    <w:uiPriority w:val="99"/>
    <w:semiHidden/>
    <w:unhideWhenUsed/>
    <w:rsid w:val="008D1A01"/>
  </w:style>
  <w:style w:type="paragraph" w:styleId="Header">
    <w:name w:val="header"/>
    <w:basedOn w:val="Normal"/>
    <w:link w:val="HeaderChar"/>
    <w:uiPriority w:val="99"/>
    <w:unhideWhenUsed/>
    <w:rsid w:val="000B0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2C5"/>
  </w:style>
  <w:style w:type="paragraph" w:styleId="Footer">
    <w:name w:val="footer"/>
    <w:basedOn w:val="Normal"/>
    <w:link w:val="FooterChar"/>
    <w:uiPriority w:val="99"/>
    <w:unhideWhenUsed/>
    <w:rsid w:val="000B0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2C5"/>
  </w:style>
  <w:style w:type="paragraph" w:styleId="Caption">
    <w:name w:val="caption"/>
    <w:basedOn w:val="Normal"/>
    <w:next w:val="Normal"/>
    <w:uiPriority w:val="35"/>
    <w:semiHidden/>
    <w:unhideWhenUsed/>
    <w:qFormat/>
    <w:rsid w:val="003400A5"/>
    <w:pPr>
      <w:spacing w:after="200" w:line="240" w:lineRule="auto"/>
    </w:pPr>
    <w:rPr>
      <w:i/>
      <w:iCs/>
      <w:color w:val="44546A" w:themeColor="text2"/>
      <w:sz w:val="18"/>
      <w:szCs w:val="18"/>
    </w:rPr>
  </w:style>
  <w:style w:type="paragraph" w:styleId="NormalWeb">
    <w:name w:val="Normal (Web)"/>
    <w:basedOn w:val="Normal"/>
    <w:uiPriority w:val="99"/>
    <w:semiHidden/>
    <w:unhideWhenUsed/>
    <w:rsid w:val="00657D70"/>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39"/>
    <w:rsid w:val="00657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6F7D4-76BC-4581-8F1E-33C2A82C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17455</Words>
  <Characters>99500</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116722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3</cp:revision>
  <cp:lastPrinted>2017-06-22T09:23:00Z</cp:lastPrinted>
  <dcterms:created xsi:type="dcterms:W3CDTF">2017-06-22T11:27:00Z</dcterms:created>
  <dcterms:modified xsi:type="dcterms:W3CDTF">2017-06-22T11:29:00Z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