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590" w:rsidRDefault="00C97434">
      <w:r>
        <w:t xml:space="preserve">Appendices </w:t>
      </w:r>
    </w:p>
    <w:p w:rsidR="00C97434" w:rsidRDefault="00C97434"/>
    <w:p w:rsidR="00C97434" w:rsidRDefault="00C97434"/>
    <w:p w:rsidR="00C97434" w:rsidRDefault="00C97434">
      <w:r>
        <w:t xml:space="preserve">Appendix </w:t>
      </w:r>
      <w:proofErr w:type="gramStart"/>
      <w:r>
        <w:t>A :</w:t>
      </w:r>
      <w:proofErr w:type="gramEnd"/>
      <w:r>
        <w:t xml:space="preserve"> considerations about the nature of the counterfactual </w:t>
      </w:r>
    </w:p>
    <w:p w:rsidR="00C97434" w:rsidRDefault="00C97434"/>
    <w:p w:rsidR="00C97434" w:rsidRPr="00AB17DD" w:rsidRDefault="00C97434" w:rsidP="00C97434">
      <w:pPr>
        <w:spacing w:line="480" w:lineRule="auto"/>
      </w:pPr>
      <w:r w:rsidRPr="00AB17DD">
        <w:t xml:space="preserve">In the case of Northern Ireland, the number of deaths attributed to the Troubles has already been estimated carefully and directly, for example through studious collation of coroners’ records and newspaper reports.  (See, e.g. </w:t>
      </w:r>
      <w:r w:rsidRPr="00AB17DD">
        <w:fldChar w:fldCharType="begin" w:fldLock="1"/>
      </w:r>
      <w:r w:rsidRPr="00AB17DD">
        <w:instrText>ADDIN CSL_CITATION { "citationItems" : [ { "id" : "ITEM-1", "itemData" : { "ISBN" : "0 95333 05 2 4", "author" : [ { "dropping-particle" : "", "family" : "Smyth", "given" : "M", "non-dropping-particle" : "", "parse-names" : false, "suffix" : "" } ], "id" : "ITEM-1", "issued" : { "date-parts" : [ [ "1998" ] ] }, "publisher" : "INCORE", "publisher-place" : "Derry", "title" : "Half the Battle: Understanding the impact of 'the Troubles' on children and young people", "type" : "book" }, "uris" : [ "http://www.mendeley.com/documents/?uuid=313aa38d-d5b8-4e96-96fd-8c1414be3a17" ] } ], "mendeley" : { "formattedCitation" : "(Smyth, 1998)", "plainTextFormattedCitation" : "(Smyth, 1998)", "previouslyFormattedCitation" : "(Smyth, 1998)" }, "properties" : { "noteIndex" : 0 }, "schema" : "https://github.com/citation-style-language/schema/raw/master/csl-citation.json" }</w:instrText>
      </w:r>
      <w:r w:rsidRPr="00AB17DD">
        <w:fldChar w:fldCharType="separate"/>
      </w:r>
      <w:r w:rsidRPr="00AB17DD">
        <w:rPr>
          <w:noProof/>
        </w:rPr>
        <w:t>(Smyth, 1998)</w:t>
      </w:r>
      <w:r w:rsidRPr="00AB17DD">
        <w:fldChar w:fldCharType="end"/>
      </w:r>
      <w:r w:rsidRPr="00AB17DD">
        <w:t xml:space="preserve">, </w:t>
      </w:r>
      <w:r w:rsidRPr="00AB17DD">
        <w:fldChar w:fldCharType="begin" w:fldLock="1"/>
      </w:r>
      <w:r w:rsidRPr="00AB17DD">
        <w:instrText>ADDIN CSL_CITATION { "citationItems" : [ { "id" : "ITEM-1", "itemData" : { "DOI" : "10.1080/13527250802284859", "ISSN" : "1352-7258", "PMID" : "2191", "abstract" : "The paramilitary ceasefires in 1994 and the ensuing peace negotiations brought to a close some three decades of ethno-nationalist violence in Northern Ireland. The conflict, colloquially termed the Troubles, cost almost 3,700 lives, and bequeathed both a tangible and intangible heritage of division and hurt. This paper considers the commodification of physical conflict 'heritage' such as military installations, memorials and street murals through an examination of various tourism initiatives. Such initiatives have been employed by a number of agents ranging from local councils and tourist boards to small community groups and ex-prisoner organisations. While 'official' agencies recognise the economic potential of this form of heritage, community-based groups often view the sites and symbols of the conflict as vehicles through which to propagate political perspectives. Those sold by the latter, in particular, are often supported by government bodies that fund such forms of tourism under the auspices of 'conflict transformation', a strategy that is aimed at transforming the nature of the conflict through fostering self-understanding within disputant communities. I participated in a number of these tours over the course of six months in 2005/2006.", "author" : [ { "dropping-particle" : "", "family" : "McDowell", "given" : "Sara", "non-dropping-particle" : "", "parse-names" : false, "suffix" : "" } ], "container-title" : "International Journal of Heritage Studies", "id" : "ITEM-1", "issue" : "5", "issued" : { "date-parts" : [ [ "2008", "9" ] ] }, "note" : "Int J Herit Stud Int J Herit Stud\nISI:000207690400002; V13Tz; Times Cited:19; Cited References Count:16", "page" : "405-421", "title" : "Selling Conflict Heritage through Tourism in Peacetime Northern Ireland: Transforming Conflict or Exacerbating Difference?", "type" : "article-journal", "volume" : "14" }, "uris" : [ "http://www.mendeley.com/documents/?uuid=ea84e679-4591-438b-bff2-688ae73f54ec" ] } ], "mendeley" : { "formattedCitation" : "(McDowell, 2008)", "plainTextFormattedCitation" : "(McDowell, 2008)", "previouslyFormattedCitation" : "(McDowell, 2008)" }, "properties" : { "noteIndex" : 0 }, "schema" : "https://github.com/citation-style-language/schema/raw/master/csl-citation.json" }</w:instrText>
      </w:r>
      <w:r w:rsidRPr="00AB17DD">
        <w:fldChar w:fldCharType="separate"/>
      </w:r>
      <w:r w:rsidRPr="00AB17DD">
        <w:rPr>
          <w:noProof/>
        </w:rPr>
        <w:t>(McDowell, 2008)</w:t>
      </w:r>
      <w:r w:rsidRPr="00AB17DD">
        <w:fldChar w:fldCharType="end"/>
      </w:r>
      <w:r w:rsidRPr="00AB17DD">
        <w:t xml:space="preserve">, </w:t>
      </w:r>
      <w:r w:rsidRPr="00AB17DD">
        <w:fldChar w:fldCharType="begin" w:fldLock="1"/>
      </w:r>
      <w:r w:rsidRPr="00AB17DD">
        <w:instrText>ADDIN CSL_CITATION { "citationItems" : [ { "id" : "ITEM-1", "itemData" : { "DOI" : "10.1192/apt.7.1.73", "ISSN" : "13555146", "author" : [ { "dropping-particle" : "", "family" : "Curran", "given" : "P. S.", "non-dropping-particle" : "", "parse-names" : false, "suffix" : "" } ], "container-title" : "Advances in Psychiatric Treatment", "id" : "ITEM-1", "issue" : "1", "issued" : { "date-parts" : [ [ "2001", "1", "1" ] ] }, "page" : "73-80", "title" : "Psychiatric implications of chronic civilian strife or war: Northern Ireland", "type" : "article-journal", "volume" : "7" }, "uris" : [ "http://www.mendeley.com/documents/?uuid=ea1729fb-3605-441a-a7be-62924814f2a1" ] } ], "mendeley" : { "formattedCitation" : "(Curran, 2001)", "plainTextFormattedCitation" : "(Curran, 2001)", "previouslyFormattedCitation" : "(Curran, 2001)" }, "properties" : { "noteIndex" : 0 }, "schema" : "https://github.com/citation-style-language/schema/raw/master/csl-citation.json" }</w:instrText>
      </w:r>
      <w:r w:rsidRPr="00AB17DD">
        <w:fldChar w:fldCharType="separate"/>
      </w:r>
      <w:r w:rsidRPr="00AB17DD">
        <w:rPr>
          <w:noProof/>
        </w:rPr>
        <w:t>(Curran, 2001)</w:t>
      </w:r>
      <w:r w:rsidRPr="00AB17DD">
        <w:fldChar w:fldCharType="end"/>
      </w:r>
      <w:r w:rsidRPr="00AB17DD">
        <w:t xml:space="preserve">) These estimates cannot, of course, count any hypothetical deaths that may have been </w:t>
      </w:r>
      <w:r w:rsidRPr="00AB17DD">
        <w:rPr>
          <w:i/>
        </w:rPr>
        <w:t xml:space="preserve">averted </w:t>
      </w:r>
      <w:r w:rsidRPr="00AB17DD">
        <w:t xml:space="preserve">as a result of the Troubles, nor any that resulted </w:t>
      </w:r>
      <w:r w:rsidRPr="00AB17DD">
        <w:rPr>
          <w:i/>
        </w:rPr>
        <w:t xml:space="preserve">indirectly </w:t>
      </w:r>
      <w:r w:rsidRPr="00AB17DD">
        <w:t xml:space="preserve">from the Troubles. An example of an </w:t>
      </w:r>
      <w:r w:rsidRPr="00AB17DD">
        <w:rPr>
          <w:i/>
        </w:rPr>
        <w:t>averted</w:t>
      </w:r>
      <w:r w:rsidRPr="00AB17DD">
        <w:t xml:space="preserve"> death could be if a young adult (most likely male) </w:t>
      </w:r>
      <w:r w:rsidRPr="00AB17DD">
        <w:rPr>
          <w:i/>
        </w:rPr>
        <w:t xml:space="preserve">would have </w:t>
      </w:r>
      <w:r w:rsidRPr="00AB17DD">
        <w:t xml:space="preserve">died of a vehicle-related fatality in an alternate Northern Ireland in which the Troubles did not occur, but due perhaps to the elevated police and military presence in the real Northern Ireland in the 1970s and 1980s, and consequent road speed restrictions and enforcement thereof, did not die of this cause, and so did not die in early adulthood. And an example of a death </w:t>
      </w:r>
      <w:r w:rsidRPr="00AB17DD">
        <w:rPr>
          <w:i/>
        </w:rPr>
        <w:t>indirectly</w:t>
      </w:r>
      <w:r w:rsidRPr="00AB17DD">
        <w:t xml:space="preserve"> caused by the Troubles would be if an individual died of suicide or alcohol due to the emotional stress caused by living in this distinct sociocultural environment. </w:t>
      </w:r>
    </w:p>
    <w:p w:rsidR="00C97434" w:rsidRDefault="00C97434" w:rsidP="00C97434">
      <w:r w:rsidRPr="00AB17DD">
        <w:t xml:space="preserve">Given the near-philosophical nature of the above hypothetical scenarios of averted deaths and indirectly caused deaths, the counterfactual can never be truly known. What both the visualisations of mortality risks on Lexis surfaces, and the subsequent statistical model, aim to do is demonstrate what can be inferred about the human costs of violent sectarian conflicts from all-cause mortality records alone. All-cause mortality records (knowing whether someone has died) are invariably more readily available for populations than cause-specific mortality records (knowing why someone has died), and are less subject to economic and cultural variations in coding practice which can hinder meaningful comparison over large swathes of time and space. An example of temporal variation is the changes in ICD classification systems that periodically occur. </w:t>
      </w:r>
      <w:r w:rsidRPr="00AB17DD">
        <w:rPr>
          <w:highlight w:val="yellow"/>
        </w:rPr>
        <w:t>[FURTHER DETAILS]</w:t>
      </w:r>
      <w:r w:rsidRPr="00AB17DD">
        <w:t xml:space="preserve"> An example of economic variation is the effect that limited public resource has on official record keeping and the construction of coroner reports. And an example of cultural variation could be the differential degree to which a coroner may be willing to designate an alcohol-related death or suicide </w:t>
      </w:r>
      <w:r w:rsidRPr="00AB17DD">
        <w:rPr>
          <w:i/>
        </w:rPr>
        <w:t xml:space="preserve">as alcohol-related or suicides </w:t>
      </w:r>
      <w:r w:rsidRPr="00AB17DD">
        <w:t xml:space="preserve">in a country with religious prohibitions on either consumption of alcohol or death by (‘committing’) suicide. By developing the Impulse-decay model and producing mortality estimates based on all-cause mortality records in the case of Northern Ireland, in which cause-specific estimates are available for comparison, the general utility and applicability of the model structure and broader model-development approach outlined here can be inferred for less economically developed populations which have also experienced sectarian conflict. Examples of possible applications are sadly numerous, and include Afghanistan and Pakistan/India in the 1980s; Algeria, </w:t>
      </w:r>
      <w:r w:rsidRPr="00AB17DD">
        <w:lastRenderedPageBreak/>
        <w:t>Yugoslavia, and Rwanda in the 1990s; Iraq and Syria in the 2000s and 2010s; and Israel and its neighbours since 1948.</w:t>
      </w:r>
    </w:p>
    <w:p w:rsidR="007B6D34" w:rsidRDefault="007B6D34" w:rsidP="00C97434"/>
    <w:p w:rsidR="007B6D34" w:rsidRDefault="007B6D34" w:rsidP="00C97434">
      <w:r>
        <w:t>Appendix B: Additional considerations about the model specification</w:t>
      </w:r>
    </w:p>
    <w:p w:rsidR="007B6D34" w:rsidRDefault="007B6D34" w:rsidP="00C97434"/>
    <w:p w:rsidR="007B6D34" w:rsidRPr="00FA2F76" w:rsidRDefault="007B6D34" w:rsidP="007B6D34">
      <w:pPr>
        <w:pStyle w:val="Heading4"/>
      </w:pPr>
      <w:r w:rsidRPr="00AB17DD">
        <w:rPr>
          <w:color w:val="auto"/>
        </w:rPr>
        <w:t>Considerations in representing background rates of mortality improvement</w:t>
      </w:r>
    </w:p>
    <w:p w:rsidR="007B6D34" w:rsidRPr="00AB17DD" w:rsidRDefault="007B6D34" w:rsidP="007B6D34">
      <w:pPr>
        <w:spacing w:line="480" w:lineRule="auto"/>
      </w:pPr>
      <w:r w:rsidRPr="00AB17DD">
        <w:t xml:space="preserve">In addition to the distinct Impulse-decay feature which is the focus of this paper (‘the Shape of the Troubles’), it is also important to adequately represent longer-term trends in age-specific mortality rates. One of the most population actuarial models, the Lee-Carter model, assumes that all ages experience the same constant ‘drift’ towards lower log mortality over time. [REFs: Lee-Carter; </w:t>
      </w:r>
      <w:proofErr w:type="spellStart"/>
      <w:r w:rsidRPr="00AB17DD">
        <w:t>Girosi</w:t>
      </w:r>
      <w:proofErr w:type="spellEnd"/>
      <w:r w:rsidRPr="00AB17DD">
        <w:t xml:space="preserve"> &amp; King] The intuition of this model assumption is as follows: imagine the Lexis surface of log mortality rates were drawn as a contour plot, as with a spatial map showing variation in height above sea level as a function of latitude and longitude. Each specific contour line in a Lexis surface of log-mortality rates therefore represents a fixed mortality hazards. The central assumption of the Lee-Carter model is that each of these contours ‘drift’ upwards from left to right at an angle somewhat shallower than 45 degrees (the angle indicating a single age cohort), and does so at all ages and for all periods of observations. For example, a given contour line, indicating a specific fixed mortality hazard, might be encountered at age 40 in 1950, age 45 in 1975, and age 50 in 2000; each mortality ‘hurdle’ is therefore put off to a slightly older age, and the overall result is a continuing improvement in life expectancies.  The assumption that this rate of upwards drift in mortality hazards (in effect projecting forwards the Lexis surface along its first principal component) applies at all ages and is constant over time is a highly simplistic assumption, but often produces surprisingly good estimate of population life expectancy trends, because it tends to be a reasonable approximation of what has happened to mortality rate trends in older age (from about age 50 onwards), which is when most deaths occur. </w:t>
      </w:r>
    </w:p>
    <w:p w:rsidR="007B6D34" w:rsidRPr="00AB17DD" w:rsidRDefault="007B6D34" w:rsidP="007B6D34">
      <w:pPr>
        <w:spacing w:line="480" w:lineRule="auto"/>
      </w:pPr>
      <w:r w:rsidRPr="00AB17DD">
        <w:t xml:space="preserve">In younger adulthood, and especially for male populations, the simplifying assumption of the Lee-Carter model appears less appropriate. The ‘Shape of the Troubles’ is a case in point, but mortality </w:t>
      </w:r>
      <w:r w:rsidRPr="00AB17DD">
        <w:lastRenderedPageBreak/>
        <w:t>risks in young adulthood do tend to be more variable over in young adulthood than older ages due to risks of deaths from external causes, which claim a disproportionate share of lives in early adulthood, tending to be variable across time and place than deaths from many other causes. More complicated models for representing the way that mortality risks often increase sharply with the onset of adulthood in populations, especially males, have been developed, but these are difficult to fit and often do not also incorporate projections about changing age-specific mortality risks over time. [REFs]</w:t>
      </w:r>
    </w:p>
    <w:p w:rsidR="007B6D34" w:rsidRPr="00FA2F76" w:rsidRDefault="007B6D34" w:rsidP="007B6D34">
      <w:pPr>
        <w:pStyle w:val="Heading4"/>
      </w:pPr>
      <w:r w:rsidRPr="00AB17DD">
        <w:rPr>
          <w:color w:val="auto"/>
        </w:rPr>
        <w:t>Model specification and selection of mortality rate improvement phases</w:t>
      </w:r>
    </w:p>
    <w:p w:rsidR="007B6D34" w:rsidRDefault="007B6D34" w:rsidP="007B6D34">
      <w:r w:rsidRPr="00AB17DD">
        <w:t>In order to try to represent how age-specific mortality risks are likely to have changed over time in the absence of the Troubles, the Lexis surfaces of log mortality rates in Northern Ireland were carefully explored within the 15-45 year age range for both indications of Lee-Carter style ‘drift’, and also discontinuities in the rate of ‘drift’ over time. Separate models were fit to represent changes in log mortality over time at each age in single years, but these models included a number of shared parameters. By looking at the extent to which mortality ‘bands’ of particular colours (the level plot analogue of contour lines in a contour plot) appeared to move upwards at different rates over time (See figure 5), it appears that underlying trends in mortality rate improvement fit within three distinct phases.</w:t>
      </w:r>
    </w:p>
    <w:p w:rsidR="007B6D34" w:rsidRDefault="007B6D34" w:rsidP="007B6D34"/>
    <w:p w:rsidR="007B6D34" w:rsidRDefault="007B6D34" w:rsidP="007B6D34">
      <w:r>
        <w:t>Appendix C: Methods for estimating additional deaths caused by the Troubles</w:t>
      </w:r>
    </w:p>
    <w:p w:rsidR="007B6D34" w:rsidRDefault="007B6D34" w:rsidP="007B6D34"/>
    <w:p w:rsidR="007B6D34" w:rsidRPr="00AB17DD" w:rsidRDefault="007B6D34" w:rsidP="007B6D34">
      <w:pPr>
        <w:pStyle w:val="Heading3"/>
        <w:rPr>
          <w:rFonts w:eastAsiaTheme="minorEastAsia"/>
          <w:color w:val="auto"/>
        </w:rPr>
      </w:pPr>
      <w:r w:rsidRPr="00AB17DD">
        <w:rPr>
          <w:rFonts w:eastAsiaTheme="minorEastAsia"/>
          <w:color w:val="auto"/>
        </w:rPr>
        <w:t>Visualisation and estimating of effect of the Troubles on mortality</w:t>
      </w:r>
    </w:p>
    <w:p w:rsidR="007B6D34" w:rsidRPr="00AB17DD" w:rsidRDefault="007B6D34" w:rsidP="007B6D34">
      <w:pPr>
        <w:spacing w:line="480" w:lineRule="auto"/>
        <w:rPr>
          <w:rFonts w:eastAsiaTheme="minorEastAsia"/>
        </w:rPr>
      </w:pPr>
      <w:r w:rsidRPr="00AB17DD">
        <w:rPr>
          <w:rFonts w:eastAsiaTheme="minorEastAsia"/>
        </w:rPr>
        <w:t xml:space="preserve">After having developed a final model specification by comparing a number of possible candidate models using standard model summary measures such as adjusted R-Square, AIC, and BIC, as well as by comparing residuals surfaces, and after ‘tuning’ the decay parameter k in T(t) using AIC, it is important to make the model predictions intelligible and substantively meaningful. This does not mean presenting a long series of statistical model coefficients and associated p values, but instead showing how the </w:t>
      </w:r>
      <w:r w:rsidRPr="00AB17DD">
        <w:rPr>
          <w:rFonts w:eastAsiaTheme="minorEastAsia"/>
          <w:i/>
        </w:rPr>
        <w:t xml:space="preserve">surface </w:t>
      </w:r>
      <w:r w:rsidRPr="00AB17DD">
        <w:rPr>
          <w:rFonts w:eastAsiaTheme="minorEastAsia"/>
        </w:rPr>
        <w:t>of age-years specific mortality rates produced by the selected model compare with the observed surface of values for the same range of ages and years. As the final model includes the Impulse-decay (‘Troubles’) function as a discrete term, a counterfactual prediction surface, in which the Troubles did not occur, can also be produced by setting the associated parameter value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oMath>
      <w:r w:rsidRPr="00AB17DD">
        <w:rPr>
          <w:rFonts w:eastAsiaTheme="minorEastAsia"/>
        </w:rPr>
        <w:t xml:space="preserve">) to zero for all ages and years. </w:t>
      </w:r>
    </w:p>
    <w:p w:rsidR="007B6D34" w:rsidRPr="00AB17DD" w:rsidRDefault="007B6D34" w:rsidP="007B6D34">
      <w:pPr>
        <w:spacing w:line="480" w:lineRule="auto"/>
        <w:rPr>
          <w:rFonts w:eastAsiaTheme="minorEastAsia"/>
        </w:rPr>
      </w:pPr>
      <w:r w:rsidRPr="00AB17DD">
        <w:rPr>
          <w:rFonts w:eastAsiaTheme="minorEastAsia"/>
        </w:rPr>
        <w:lastRenderedPageBreak/>
        <w:t>By applying observed age-year specific population counts to both the standard (‘with Troubles’) and counterfactual (‘without Troubles’) model prediction surfaces, an estimate of the number of additional lives lost as a result of the Trouble can then be produced. More formally, the numbers of deaths at each age and in each year are estimated by applying the model’s predicted mortality risks to the populations exposed to these risks, i.e</w:t>
      </w:r>
      <w:proofErr w:type="gramStart"/>
      <w:r w:rsidRPr="00AB17DD">
        <w:rPr>
          <w:rFonts w:eastAsiaTheme="minorEastAsia"/>
        </w:rPr>
        <w:t xml:space="preserve">. </w:t>
      </w:r>
      <w:proofErr w:type="gramEnd"/>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i</m:t>
                </m:r>
              </m:sub>
              <m:sup>
                <m:r>
                  <w:rPr>
                    <w:rFonts w:ascii="Cambria Math" w:eastAsiaTheme="minorEastAsia" w:hAnsi="Cambria Math"/>
                  </w:rPr>
                  <m:t>A</m:t>
                </m:r>
              </m:sup>
            </m:sSubSup>
            <m:d>
              <m:dPr>
                <m:ctrlPr>
                  <w:rPr>
                    <w:rFonts w:ascii="Cambria Math" w:eastAsiaTheme="minorEastAsia" w:hAnsi="Cambria Math"/>
                    <w:i/>
                  </w:rPr>
                </m:ctrlPr>
              </m:dPr>
              <m:e>
                <m:r>
                  <w:rPr>
                    <w:rFonts w:ascii="Cambria Math" w:eastAsiaTheme="minorEastAsia" w:hAnsi="Cambria Math"/>
                  </w:rPr>
                  <m:t>t</m:t>
                </m:r>
              </m:e>
            </m:d>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(t)</m:t>
        </m:r>
      </m:oMath>
      <w:r w:rsidRPr="00AB17DD">
        <w:rPr>
          <w:rFonts w:eastAsiaTheme="minorEastAsia"/>
        </w:rPr>
        <w:t xml:space="preserve">, where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(t)</m:t>
        </m:r>
      </m:oMath>
      <w:r w:rsidRPr="00AB17DD">
        <w:rPr>
          <w:rFonts w:eastAsiaTheme="minorEastAsia"/>
        </w:rPr>
        <w:t xml:space="preserve"> is the number of deaths at age</w:t>
      </w:r>
      <m:oMath>
        <m:r>
          <w:rPr>
            <w:rFonts w:ascii="Cambria Math" w:eastAsiaTheme="minorEastAsia" w:hAnsi="Cambria Math"/>
          </w:rPr>
          <m:t xml:space="preserve"> i</m:t>
        </m:r>
      </m:oMath>
      <w:r w:rsidRPr="00AB17DD">
        <w:rPr>
          <w:rFonts w:eastAsiaTheme="minorEastAsia"/>
        </w:rPr>
        <w:t xml:space="preserve"> and in year </w:t>
      </w:r>
      <m:oMath>
        <m:r>
          <w:rPr>
            <w:rFonts w:ascii="Cambria Math" w:eastAsiaTheme="minorEastAsia" w:hAnsi="Cambria Math"/>
          </w:rPr>
          <m:t>t</m:t>
        </m:r>
      </m:oMath>
      <w:r w:rsidRPr="00AB17DD">
        <w:rPr>
          <w:rFonts w:eastAsiaTheme="minorEastAsia"/>
        </w:rPr>
        <w:t xml:space="preserve"> under the active conflict scenario A,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(t)</m:t>
        </m:r>
      </m:oMath>
      <w:r w:rsidRPr="00AB17DD">
        <w:rPr>
          <w:rFonts w:eastAsiaTheme="minorEastAsia"/>
        </w:rPr>
        <w:t xml:space="preserve"> indicates the size of the population at this age and in this year exposed to the mortality risk. </w:t>
      </w:r>
    </w:p>
    <w:p w:rsidR="007B6D34" w:rsidRPr="00AB17DD" w:rsidRDefault="007B6D34" w:rsidP="007B6D34">
      <w:pPr>
        <w:spacing w:line="480" w:lineRule="auto"/>
        <w:rPr>
          <w:rFonts w:eastAsiaTheme="minorEastAsia"/>
        </w:rPr>
      </w:pPr>
      <w:r w:rsidRPr="00AB17DD">
        <w:rPr>
          <w:rFonts w:eastAsiaTheme="minorEastAsia"/>
        </w:rPr>
        <w:t xml:space="preserve">A counterfactual surface of risks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C</m:t>
            </m:r>
          </m:sup>
        </m:sSubSup>
        <m:r>
          <w:rPr>
            <w:rFonts w:ascii="Cambria Math" w:eastAsiaTheme="minorEastAsia" w:hAnsi="Cambria Math"/>
          </w:rPr>
          <m:t>(t)</m:t>
        </m:r>
      </m:oMath>
      <w:r w:rsidRPr="00AB17DD">
        <w:rPr>
          <w:rFonts w:eastAsiaTheme="minorEastAsia"/>
        </w:rPr>
        <w:t xml:space="preserve"> is modelled by setting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oMath>
      <w:r w:rsidRPr="00AB17DD">
        <w:rPr>
          <w:rFonts w:eastAsiaTheme="minorEastAsia"/>
        </w:rPr>
        <w:t xml:space="preserve"> to 0 in all years. The total number of conflict-attributable deaths estimated by the model in this age range is then the sum of differences in deaths estimated under both scenarios, i.e. </w:t>
      </w:r>
      <m:oMath>
        <m:nary>
          <m:naryPr>
            <m:chr m:val="∑"/>
            <m:limLoc m:val="subSup"/>
            <m:ctrlPr>
              <w:rPr>
                <w:rFonts w:ascii="Cambria Math" w:eastAsiaTheme="minorEastAsia" w:hAnsi="Cambria Math"/>
                <w:i/>
              </w:rPr>
            </m:ctrlPr>
          </m:naryPr>
          <m:sub>
            <m:r>
              <w:rPr>
                <w:rFonts w:ascii="Cambria Math" w:eastAsiaTheme="minorEastAsia" w:hAnsi="Cambria Math"/>
              </w:rPr>
              <m:t>i=15</m:t>
            </m:r>
          </m:sub>
          <m:sup>
            <m:r>
              <w:rPr>
                <w:rFonts w:ascii="Cambria Math" w:eastAsiaTheme="minorEastAsia" w:hAnsi="Cambria Math"/>
              </w:rPr>
              <m:t>45</m:t>
            </m:r>
          </m:sup>
          <m:e>
            <m:nary>
              <m:naryPr>
                <m:chr m:val="∑"/>
                <m:limLoc m:val="subSup"/>
                <m:ctrlPr>
                  <w:rPr>
                    <w:rFonts w:ascii="Cambria Math" w:eastAsiaTheme="minorEastAsia" w:hAnsi="Cambria Math"/>
                    <w:i/>
                  </w:rPr>
                </m:ctrlPr>
              </m:naryPr>
              <m:sub>
                <m:r>
                  <w:rPr>
                    <w:rFonts w:ascii="Cambria Math" w:eastAsiaTheme="minorEastAsia" w:hAnsi="Cambria Math"/>
                  </w:rPr>
                  <m:t>t=1922</m:t>
                </m:r>
              </m:sub>
              <m:sup>
                <m:r>
                  <w:rPr>
                    <w:rFonts w:ascii="Cambria Math" w:eastAsiaTheme="minorEastAsia" w:hAnsi="Cambria Math"/>
                  </w:rPr>
                  <m:t>2013</m:t>
                </m:r>
              </m:sup>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A</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C</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nary>
          </m:e>
        </m:nary>
      </m:oMath>
      <w:r w:rsidRPr="00AB17DD">
        <w:rPr>
          <w:rFonts w:eastAsiaTheme="minorEastAsia"/>
        </w:rPr>
        <w:t xml:space="preserve">. </w:t>
      </w:r>
    </w:p>
    <w:p w:rsidR="007B6D34" w:rsidRPr="00AB17DD" w:rsidRDefault="007B6D34" w:rsidP="007B6D34">
      <w:pPr>
        <w:spacing w:line="480" w:lineRule="auto"/>
        <w:rPr>
          <w:rFonts w:eastAsiaTheme="minorEastAsia"/>
        </w:rPr>
      </w:pPr>
      <w:r w:rsidRPr="00AB17DD">
        <w:rPr>
          <w:rFonts w:eastAsiaTheme="minorEastAsia"/>
        </w:rPr>
        <w:t>Finally, in the fifth phase of the analysis, the numbers of deaths at each age and in each year are estimated by applying the model’s predicted mortality risks to the populations exposed to these risks, i.e</w:t>
      </w:r>
      <w:proofErr w:type="gramStart"/>
      <w:r w:rsidRPr="00AB17DD">
        <w:rPr>
          <w:rFonts w:eastAsiaTheme="minorEastAsia"/>
        </w:rPr>
        <w:t xml:space="preserve">. </w:t>
      </w:r>
      <w:proofErr w:type="gramEnd"/>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i</m:t>
                </m:r>
              </m:sub>
              <m:sup>
                <m:r>
                  <w:rPr>
                    <w:rFonts w:ascii="Cambria Math" w:eastAsiaTheme="minorEastAsia" w:hAnsi="Cambria Math"/>
                  </w:rPr>
                  <m:t>A</m:t>
                </m:r>
              </m:sup>
            </m:sSubSup>
            <m:d>
              <m:dPr>
                <m:ctrlPr>
                  <w:rPr>
                    <w:rFonts w:ascii="Cambria Math" w:eastAsiaTheme="minorEastAsia" w:hAnsi="Cambria Math"/>
                    <w:i/>
                  </w:rPr>
                </m:ctrlPr>
              </m:dPr>
              <m:e>
                <m:r>
                  <w:rPr>
                    <w:rFonts w:ascii="Cambria Math" w:eastAsiaTheme="minorEastAsia" w:hAnsi="Cambria Math"/>
                  </w:rPr>
                  <m:t>t</m:t>
                </m:r>
              </m:e>
            </m:d>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(t)</m:t>
        </m:r>
      </m:oMath>
      <w:r w:rsidRPr="00AB17DD">
        <w:rPr>
          <w:rFonts w:eastAsiaTheme="minorEastAsia"/>
        </w:rPr>
        <w:t xml:space="preserve">, where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A</m:t>
            </m:r>
          </m:sup>
        </m:sSubSup>
        <m:r>
          <w:rPr>
            <w:rFonts w:ascii="Cambria Math" w:eastAsiaTheme="minorEastAsia" w:hAnsi="Cambria Math"/>
          </w:rPr>
          <m:t>(t)</m:t>
        </m:r>
      </m:oMath>
      <w:r w:rsidRPr="00AB17DD">
        <w:rPr>
          <w:rFonts w:eastAsiaTheme="minorEastAsia"/>
        </w:rPr>
        <w:t xml:space="preserve"> is the n</w:t>
      </w:r>
      <w:proofErr w:type="spellStart"/>
      <w:r w:rsidRPr="00AB17DD">
        <w:rPr>
          <w:rFonts w:eastAsiaTheme="minorEastAsia"/>
        </w:rPr>
        <w:t>umber</w:t>
      </w:r>
      <w:proofErr w:type="spellEnd"/>
      <w:r w:rsidRPr="00AB17DD">
        <w:rPr>
          <w:rFonts w:eastAsiaTheme="minorEastAsia"/>
        </w:rPr>
        <w:t xml:space="preserve"> of deaths at age</w:t>
      </w:r>
      <m:oMath>
        <m:r>
          <w:rPr>
            <w:rFonts w:ascii="Cambria Math" w:eastAsiaTheme="minorEastAsia" w:hAnsi="Cambria Math"/>
          </w:rPr>
          <m:t xml:space="preserve"> i</m:t>
        </m:r>
      </m:oMath>
      <w:r w:rsidRPr="00AB17DD">
        <w:rPr>
          <w:rFonts w:eastAsiaTheme="minorEastAsia"/>
        </w:rPr>
        <w:t xml:space="preserve"> and in year </w:t>
      </w:r>
      <m:oMath>
        <m:r>
          <w:rPr>
            <w:rFonts w:ascii="Cambria Math" w:eastAsiaTheme="minorEastAsia" w:hAnsi="Cambria Math"/>
          </w:rPr>
          <m:t>t</m:t>
        </m:r>
      </m:oMath>
      <w:r w:rsidRPr="00AB17DD">
        <w:rPr>
          <w:rFonts w:eastAsiaTheme="minorEastAsia"/>
        </w:rPr>
        <w:t xml:space="preserve"> under the active conflict scenario A,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(t)</m:t>
        </m:r>
      </m:oMath>
      <w:r w:rsidRPr="00AB17DD">
        <w:rPr>
          <w:rFonts w:eastAsiaTheme="minorEastAsia"/>
        </w:rPr>
        <w:t xml:space="preserve"> indicates the size of the population at this age and in this year exposed to the mortality risk. A counterfactual surface of risks </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C</m:t>
            </m:r>
          </m:sup>
        </m:sSubSup>
        <m:r>
          <w:rPr>
            <w:rFonts w:ascii="Cambria Math" w:eastAsiaTheme="minorEastAsia" w:hAnsi="Cambria Math"/>
          </w:rPr>
          <m:t>(t)</m:t>
        </m:r>
      </m:oMath>
      <w:r w:rsidRPr="00AB17DD">
        <w:rPr>
          <w:rFonts w:eastAsiaTheme="minorEastAsia"/>
        </w:rPr>
        <w:t xml:space="preserve"> is modelled by setting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e>
        </m:d>
      </m:oMath>
      <w:r w:rsidRPr="00AB17DD">
        <w:rPr>
          <w:rFonts w:eastAsiaTheme="minorEastAsia"/>
        </w:rPr>
        <w:t xml:space="preserve"> to 0 in all years. The total number of conflict-attributable deaths estimated by the model in this age range is then the sum of differences in deaths estimated under both scenarios, i.e. </w:t>
      </w:r>
      <m:oMath>
        <m:nary>
          <m:naryPr>
            <m:chr m:val="∑"/>
            <m:limLoc m:val="subSup"/>
            <m:ctrlPr>
              <w:rPr>
                <w:rFonts w:ascii="Cambria Math" w:eastAsiaTheme="minorEastAsia" w:hAnsi="Cambria Math"/>
                <w:i/>
              </w:rPr>
            </m:ctrlPr>
          </m:naryPr>
          <m:sub>
            <m:r>
              <w:rPr>
                <w:rFonts w:ascii="Cambria Math" w:eastAsiaTheme="minorEastAsia" w:hAnsi="Cambria Math"/>
              </w:rPr>
              <m:t>i=15</m:t>
            </m:r>
          </m:sub>
          <m:sup>
            <m:r>
              <w:rPr>
                <w:rFonts w:ascii="Cambria Math" w:eastAsiaTheme="minorEastAsia" w:hAnsi="Cambria Math"/>
              </w:rPr>
              <m:t>45</m:t>
            </m:r>
          </m:sup>
          <m:e>
            <m:nary>
              <m:naryPr>
                <m:chr m:val="∑"/>
                <m:limLoc m:val="subSup"/>
                <m:ctrlPr>
                  <w:rPr>
                    <w:rFonts w:ascii="Cambria Math" w:eastAsiaTheme="minorEastAsia" w:hAnsi="Cambria Math"/>
                    <w:i/>
                  </w:rPr>
                </m:ctrlPr>
              </m:naryPr>
              <m:sub>
                <m:r>
                  <w:rPr>
                    <w:rFonts w:ascii="Cambria Math" w:eastAsiaTheme="minorEastAsia" w:hAnsi="Cambria Math"/>
                  </w:rPr>
                  <m:t>t=1922</m:t>
                </m:r>
              </m:sub>
              <m:sup>
                <m:r>
                  <w:rPr>
                    <w:rFonts w:ascii="Cambria Math" w:eastAsiaTheme="minorEastAsia" w:hAnsi="Cambria Math"/>
                  </w:rPr>
                  <m:t>2013</m:t>
                </m:r>
              </m:sup>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A</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i</m:t>
                    </m:r>
                  </m:sub>
                  <m:sup>
                    <m:r>
                      <w:rPr>
                        <w:rFonts w:ascii="Cambria Math" w:eastAsiaTheme="minorEastAsia" w:hAnsi="Cambria Math"/>
                      </w:rPr>
                      <m:t>C</m:t>
                    </m:r>
                  </m:sup>
                </m:sSub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e>
            </m:nary>
          </m:e>
        </m:nary>
      </m:oMath>
      <w:r w:rsidRPr="00AB17DD">
        <w:rPr>
          <w:rFonts w:eastAsiaTheme="minorEastAsia"/>
        </w:rPr>
        <w:t xml:space="preserve">. </w:t>
      </w:r>
    </w:p>
    <w:p w:rsidR="007B6D34" w:rsidRDefault="007B6D34" w:rsidP="007B6D34">
      <w:pPr>
        <w:rPr>
          <w:b/>
        </w:rPr>
      </w:pPr>
      <w:r>
        <w:rPr>
          <w:b/>
        </w:rPr>
        <w:t>Appendix D: The relationship between AIC and decay parameter k in the ID component of the model</w:t>
      </w:r>
    </w:p>
    <w:p w:rsidR="007B6D34" w:rsidRDefault="007B6D34" w:rsidP="007B6D34">
      <w:r w:rsidRPr="00AB17DD">
        <w:t>Figure 8 shows the model fit as a function of the decay rate, k.</w:t>
      </w:r>
    </w:p>
    <w:p w:rsidR="007B6D34" w:rsidRPr="00AB17DD" w:rsidRDefault="007B6D34" w:rsidP="007B6D34">
      <w:pPr>
        <w:spacing w:line="480" w:lineRule="auto"/>
        <w:jc w:val="center"/>
        <w:rPr>
          <w:i/>
        </w:rPr>
      </w:pPr>
      <w:r w:rsidRPr="00AB17DD">
        <w:rPr>
          <w:i/>
          <w:noProof/>
          <w:lang w:eastAsia="en-GB"/>
        </w:rPr>
        <w:lastRenderedPageBreak/>
        <w:drawing>
          <wp:inline distT="0" distB="0" distL="0" distR="0" wp14:anchorId="766CDA4D" wp14:editId="48FFB428">
            <wp:extent cx="4680857" cy="4680857"/>
            <wp:effectExtent l="0" t="0" r="5715" b="5715"/>
            <wp:docPr id="9" name="Picture 9" descr="E:\repos\northern_ireland_troubles\figures\fig07_fit_deca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northern_ireland_troubles\figures\fig07_fit_decay.tif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93220" cy="4693220"/>
                    </a:xfrm>
                    <a:prstGeom prst="rect">
                      <a:avLst/>
                    </a:prstGeom>
                    <a:noFill/>
                    <a:ln>
                      <a:noFill/>
                    </a:ln>
                  </pic:spPr>
                </pic:pic>
              </a:graphicData>
            </a:graphic>
          </wp:inline>
        </w:drawing>
      </w:r>
    </w:p>
    <w:p w:rsidR="007B6D34" w:rsidRPr="00AB17DD" w:rsidRDefault="007B6D34" w:rsidP="007B6D34">
      <w:pPr>
        <w:spacing w:line="480" w:lineRule="auto"/>
        <w:jc w:val="center"/>
        <w:rPr>
          <w:b/>
        </w:rPr>
      </w:pPr>
      <w:r w:rsidRPr="00AB17DD">
        <w:rPr>
          <w:b/>
        </w:rPr>
        <w:t>Figure 8: The relationship between decay parameter and model fit using AIC. (Lower AIC value = better)</w:t>
      </w:r>
    </w:p>
    <w:p w:rsidR="007B6D34" w:rsidRPr="00AB17DD" w:rsidRDefault="007B6D34" w:rsidP="007B6D34">
      <w:pPr>
        <w:spacing w:line="480" w:lineRule="auto"/>
      </w:pPr>
    </w:p>
    <w:p w:rsidR="007B6D34" w:rsidRPr="00AB17DD" w:rsidRDefault="007B6D34" w:rsidP="007B6D34">
      <w:pPr>
        <w:spacing w:line="480" w:lineRule="auto"/>
      </w:pPr>
    </w:p>
    <w:p w:rsidR="007B6D34" w:rsidRPr="00AB17DD" w:rsidRDefault="007B6D34" w:rsidP="007B6D34">
      <w:pPr>
        <w:spacing w:line="480" w:lineRule="auto"/>
      </w:pPr>
      <w:r w:rsidRPr="00AB17DD">
        <w:rPr>
          <w:noProof/>
          <w:lang w:eastAsia="en-GB"/>
        </w:rPr>
        <w:lastRenderedPageBreak/>
        <w:drawing>
          <wp:inline distT="0" distB="0" distL="0" distR="0" wp14:anchorId="4332D0CD" wp14:editId="0F8111E8">
            <wp:extent cx="5573486" cy="5573486"/>
            <wp:effectExtent l="0" t="0" r="8255" b="8255"/>
            <wp:docPr id="13" name="Picture 13" descr="E:\repos\northern_ireland_troubles\figures\fig09_troubles_coeff.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repos\northern_ireland_troubles\figures\fig09_troubles_coeff.tiff"/>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79012" cy="5579012"/>
                    </a:xfrm>
                    <a:prstGeom prst="rect">
                      <a:avLst/>
                    </a:prstGeom>
                    <a:noFill/>
                    <a:ln>
                      <a:noFill/>
                    </a:ln>
                  </pic:spPr>
                </pic:pic>
              </a:graphicData>
            </a:graphic>
          </wp:inline>
        </w:drawing>
      </w:r>
    </w:p>
    <w:p w:rsidR="007B6D34" w:rsidRPr="00AB17DD" w:rsidRDefault="007B6D34" w:rsidP="007B6D34">
      <w:pPr>
        <w:spacing w:line="480" w:lineRule="auto"/>
        <w:jc w:val="center"/>
        <w:rPr>
          <w:b/>
        </w:rPr>
      </w:pPr>
      <w:r w:rsidRPr="00AB17DD">
        <w:rPr>
          <w:b/>
        </w:rPr>
        <w:t>Figure 10: Coefficient of the ‘Troubles parameter’ by age in single years for males (blue triangle) and females (red circle).</w:t>
      </w:r>
    </w:p>
    <w:p w:rsidR="007B6D34" w:rsidRDefault="007B6D34" w:rsidP="007B6D34">
      <w:r w:rsidRPr="00AB17DD">
        <w:t xml:space="preserve">For males the effect is positive at almost all ages, and is largest at age 18, then falls at most older ages; for females it tends to be negative, suggesting the model may be </w:t>
      </w:r>
      <w:proofErr w:type="spellStart"/>
      <w:r w:rsidRPr="00AB17DD">
        <w:t>misspecified</w:t>
      </w:r>
      <w:proofErr w:type="spellEnd"/>
      <w:r w:rsidRPr="00AB17DD">
        <w:t xml:space="preserve"> for females, and instead captures broader continual improvements in mortality risks over this time period.</w:t>
      </w:r>
    </w:p>
    <w:p w:rsidR="007B6D34" w:rsidRDefault="007B6D34" w:rsidP="007B6D34">
      <w:pPr>
        <w:rPr>
          <w:b/>
        </w:rPr>
      </w:pPr>
    </w:p>
    <w:p w:rsidR="001F3AB5" w:rsidRDefault="001F3AB5" w:rsidP="007B6D34">
      <w:pPr>
        <w:rPr>
          <w:b/>
        </w:rPr>
      </w:pPr>
      <w:r>
        <w:rPr>
          <w:b/>
        </w:rPr>
        <w:t>Appendix E: Further discussions on the implications of the model structure to Northern Ireland and the potential implications of Brexit</w:t>
      </w:r>
    </w:p>
    <w:p w:rsidR="001F3AB5" w:rsidRDefault="001F3AB5" w:rsidP="007B6D34">
      <w:pPr>
        <w:rPr>
          <w:b/>
        </w:rPr>
      </w:pPr>
    </w:p>
    <w:p w:rsidR="001F3AB5" w:rsidRPr="00AB17DD" w:rsidRDefault="001F3AB5" w:rsidP="001F3AB5">
      <w:pPr>
        <w:spacing w:line="480" w:lineRule="auto"/>
      </w:pPr>
      <w:r w:rsidRPr="00AB17DD">
        <w:t>The power sharing arrangement following the Good Friday Agreement (GFA) has been described as an example of ‘</w:t>
      </w:r>
      <w:proofErr w:type="spellStart"/>
      <w:r w:rsidRPr="00AB17DD">
        <w:t>consociationalism</w:t>
      </w:r>
      <w:proofErr w:type="spellEnd"/>
      <w:r w:rsidRPr="00AB17DD">
        <w:t xml:space="preserve">’, a system of government in which coalition by both Republicans </w:t>
      </w:r>
      <w:r w:rsidRPr="00AB17DD">
        <w:lastRenderedPageBreak/>
        <w:t>and Loyalists is mandated.</w:t>
      </w:r>
      <w:r w:rsidRPr="00AB17DD">
        <w:fldChar w:fldCharType="begin" w:fldLock="1"/>
      </w:r>
      <w:r w:rsidRPr="00AB17DD">
        <w:instrText>ADDIN CSL_CITATION { "citationItems" : [ { "id" : "ITEM-1", "itemData" : { "DOI" : "10.1111/j.1469-8129.2008.00340.x", "ISSN" : "13545078", "PMID" : "2212", "abstract" : "Outlining Ireland's long history of ethno-national conflict, and the recent protracted 'peace process' in Northern Ireland, contextualises a critique of the problems underlying such conflicts, and the difficulties in transforming externally imposed conflict management into self-sustaining conflict resolution. It is argued that the problems and difficulties are deeply rooted in a thoroughly modern complex of nationalism, ethnicity, sovereignty and representative democracy. These are knotted together in a common denominator of territoriality, and the nub of the problem is the 'double paradox' of democracy's undemocratic origins in the present. Territoriality, the use of bordered geographical space, is a powerful and ubiquitous mode of social organisation which simplifies social control. But it can grossly oversimplify and distort social realities, particularly at borders and especially where territory is contested, thereby reinforcing other distorting simplifications typically found in ethno-national conflicts. In consequence, radical remedies are needed if the problems are to be overcome. Making ethno-national peace paradoxically calls for more creative border-crossing conflicts around other issues.", "author" : [ { "dropping-particle" : "", "family" : "Anderson", "given" : "James", "non-dropping-particle" : "", "parse-names" : false, "suffix" : "" } ], "container-title" : "Nations and Nationalism", "id" : "ITEM-1", "issue" : "1", "issued" : { "date-parts" : [ [ "2008", "1", "21" ] ] }, "note" : "Nations Natl Nations Natl\nISI:000255821500005; 300KA; Times Cited:6; Cited References Count:33", "page" : "85-104", "title" : "Partition, consociation, border-crossing: some lessons from the national conflict in Ireland/Northern Ireland", "type" : "article-journal", "volume" : "14" }, "uris" : [ "http://www.mendeley.com/documents/?uuid=6f2e0db4-06f4-4be9-81ea-f1be957c3539" ] } ], "mendeley" : { "formattedCitation" : "(Anderson, 2008)", "plainTextFormattedCitation" : "(Anderson, 2008)", "previouslyFormattedCitation" : "(Anderson, 2008)" }, "properties" : { "noteIndex" : 0 }, "schema" : "https://github.com/citation-style-language/schema/raw/master/csl-citation.json" }</w:instrText>
      </w:r>
      <w:r w:rsidRPr="00AB17DD">
        <w:fldChar w:fldCharType="separate"/>
      </w:r>
      <w:r w:rsidRPr="00AB17DD">
        <w:rPr>
          <w:noProof/>
        </w:rPr>
        <w:t>(Anderson, 2008)</w:t>
      </w:r>
      <w:r w:rsidRPr="00AB17DD">
        <w:fldChar w:fldCharType="end"/>
      </w:r>
      <w:r w:rsidRPr="00AB17DD">
        <w:t xml:space="preserve"> The </w:t>
      </w:r>
      <w:proofErr w:type="spellStart"/>
      <w:r w:rsidRPr="00AB17DD">
        <w:t>consociational</w:t>
      </w:r>
      <w:proofErr w:type="spellEnd"/>
      <w:r w:rsidRPr="00AB17DD">
        <w:t xml:space="preserve"> arrangement following the GFA has led to little change in the ethno-sectarian identity focus of any of the main parties within Northern Ireland. Indeed, the political success of Sinn Fein at the expense of the more moderate Social Democratic and Labour Party (SDLP) in capturing the Irish Nationalist voting block after the GFA suggests sectarian identity may have come to matter more, not less, to voting intentions following the GFA.</w:t>
      </w:r>
      <w:r w:rsidRPr="00AB17DD">
        <w:fldChar w:fldCharType="begin" w:fldLock="1"/>
      </w:r>
      <w:r w:rsidRPr="00AB17DD">
        <w:instrText>ADDIN CSL_CITATION { "citationItems" : [ { "id" : "ITEM-1", "itemData" : { "DOI" : "10.1111/j.1467-856X.2012.00528.x", "ISSN" : "1369-1481", "abstract" : "Research Highlights and Abstract Offers one of the first detailed considerations of how political parties in Northern Ireland have adapted to the impact of the dual legitimacy of Protestant-British-Unionist and Catholic-Irish-Nationalist identities central to the Good Friday/Belfast Agreement Extends debates about devolution and party competition which have been centred on Great Britain to the United Kingdom. Outlines how the continuing bi-communalism of the electorate discourages parties from reshaping identity or chasing votes beyond the ethnic divide Analyses how nationalist parties, Sinn F\u00e9in in particular, have developed the rights of all citizens on the island of Ireland to be Irish, under the post-Good Friday Agreement Irish constitution Assesses the data indicating a modest growth of a common Northern Irish identity In this article we examine how party political competition in Northern Ireland impacts on understandings of national identity and citizenship both within the region and elsewhere in the UK. These dynamics can be seen in expressions of political identity and through organisational change and electoral strategies. The consociational framework in which Northern Irish parties operate is one of the most powerful dynamics and we assess how it has shaped intra-community party competition, most notably through the emergence of the Democratic Unionist Party and Sinn F\u00e9in as the strongest unionist and nationalist parties respectively. However, our analysis of campaigning and voting in the 2010 General Election and 2011 Assembly elections also shows that the transformation of party political competition in the UK after devolution is an important dynamic and one that has shaped unionist electoral strategies in particular.", "author" : [ { "dropping-particle" : "", "family" : "McGlynn", "given" : "Catherine", "non-dropping-particle" : "", "parse-names" : false, "suffix" : "" }, { "dropping-particle" : "", "family" : "Tonge", "given" : "Jonathan", "non-dropping-particle" : "", "parse-names" : false, "suffix" : "" }, { "dropping-particle" : "", "family" : "McAuley", "given" : "Jim", "non-dropping-particle" : "", "parse-names" : false, "suffix" : "" } ], "container-title" : "The British Journal of Politics and International Relations", "id" : "ITEM-1", "issue" : "2", "issued" : { "date-parts" : [ [ "2014", "5" ] ] }, "page" : "273-290", "title" : "The Party Politics of Post-Devolution Identity in Northern Ireland", "type" : "article-journal", "volume" : "16" }, "uris" : [ "http://www.mendeley.com/documents/?uuid=fb4bda3e-f672-4509-bebb-01bc3e856296" ] } ], "mendeley" : { "formattedCitation" : "(McGlynn, Tonge, &amp; McAuley, 2014)", "plainTextFormattedCitation" : "(McGlynn, Tonge, &amp; McAuley, 2014)", "previouslyFormattedCitation" : "(McGlynn, Tonge, &amp; McAuley, 2014)" }, "properties" : { "noteIndex" : 0 }, "schema" : "https://github.com/citation-style-language/schema/raw/master/csl-citation.json" }</w:instrText>
      </w:r>
      <w:r w:rsidRPr="00AB17DD">
        <w:fldChar w:fldCharType="separate"/>
      </w:r>
      <w:r w:rsidRPr="00AB17DD">
        <w:rPr>
          <w:noProof/>
        </w:rPr>
        <w:t>(</w:t>
      </w:r>
      <w:proofErr w:type="spellStart"/>
      <w:r w:rsidRPr="00AB17DD">
        <w:rPr>
          <w:noProof/>
        </w:rPr>
        <w:t>McGlynn</w:t>
      </w:r>
      <w:proofErr w:type="spellEnd"/>
      <w:r w:rsidRPr="00AB17DD">
        <w:rPr>
          <w:noProof/>
        </w:rPr>
        <w:t>, Tonge, &amp; McAuley, 2014)</w:t>
      </w:r>
      <w:r w:rsidRPr="00AB17DD">
        <w:fldChar w:fldCharType="end"/>
      </w:r>
      <w:r w:rsidRPr="00AB17DD">
        <w:t xml:space="preserve"> Cross-ethnic political parties have seen only limited success after the GFA compared with sectarian political parties, and this lack of success has been attributed to the </w:t>
      </w:r>
      <w:proofErr w:type="spellStart"/>
      <w:r w:rsidRPr="00AB17DD">
        <w:t>consociationalist</w:t>
      </w:r>
      <w:proofErr w:type="spellEnd"/>
      <w:r w:rsidRPr="00AB17DD">
        <w:t xml:space="preserve"> institutions established in the wake of the GFA to accommodate (rather than attempt to blend) rival identities.</w:t>
      </w:r>
      <w:r w:rsidRPr="00AB17DD">
        <w:fldChar w:fldCharType="begin" w:fldLock="1"/>
      </w:r>
      <w:r w:rsidRPr="00AB17DD">
        <w:instrText>ADDIN CSL_CITATION { "citationItems" : [ { "id" : "ITEM-1", "itemData" : { "DOI" : "10.1111/nana.12129", "ISSN" : "13545078", "abstract" : "This paper investigates the paradox in post-conflict societies of continued marginality of cross-ethnic parties despite significant convergence in public attitudes and identities. In so doing, it examines the argument that parties that attempt to reach across the divide are constrained by consocational institutions designed to accommodate rival identities in such environments. The paper explores this puzzle in the context of Northern Ireland, drawing upon qualitative evidence from elite interviews and focus groups collected in 2012 and 2013. It concludes that cross-community parties operating in the region do encounter formal institutional barriers, but that such barriers only partially explain the phenomenon and an interplay between formal and informal constraints underlies their position of relatively limited electoral success.", "author" : [ { "dropping-particle" : "", "family" : "Murtagh", "given" : "Cera", "non-dropping-particle" : "", "parse-names" : false, "suffix" : "" } ], "container-title" : "Nations and Nationalism", "id" : "ITEM-1", "issue" : "3", "issued" : { "date-parts" : [ [ "2015", "7" ] ] }, "page" : "544-565", "title" : "Reaching across: institutional barriers to cross-ethnic parties in post-conflict societies and the case of Northern Ireland", "type" : "article-journal", "volume" : "21" }, "uris" : [ "http://www.mendeley.com/documents/?uuid=259dbb53-0f2e-40fb-8179-dd08f3883008" ] } ], "mendeley" : { "formattedCitation" : "(Murtagh, 2015)", "plainTextFormattedCitation" : "(Murtagh, 2015)", "previouslyFormattedCitation" : "(Murtagh, 2015)" }, "properties" : { "noteIndex" : 0 }, "schema" : "https://github.com/citation-style-language/schema/raw/master/csl-citation.json" }</w:instrText>
      </w:r>
      <w:r w:rsidRPr="00AB17DD">
        <w:fldChar w:fldCharType="separate"/>
      </w:r>
      <w:r w:rsidRPr="00AB17DD">
        <w:rPr>
          <w:noProof/>
        </w:rPr>
        <w:t>(</w:t>
      </w:r>
      <w:proofErr w:type="spellStart"/>
      <w:r w:rsidRPr="00AB17DD">
        <w:rPr>
          <w:noProof/>
        </w:rPr>
        <w:t>Murtagh</w:t>
      </w:r>
      <w:proofErr w:type="spellEnd"/>
      <w:r w:rsidRPr="00AB17DD">
        <w:rPr>
          <w:noProof/>
        </w:rPr>
        <w:t>, 2015)</w:t>
      </w:r>
      <w:r w:rsidRPr="00AB17DD">
        <w:fldChar w:fldCharType="end"/>
      </w:r>
      <w:r w:rsidRPr="00AB17DD">
        <w:t xml:space="preserve"> Questions have therefore been raised about whether the GFA represents or helps to bring about conflict </w:t>
      </w:r>
      <w:r w:rsidRPr="00AB17DD">
        <w:rPr>
          <w:i/>
        </w:rPr>
        <w:t>resolution</w:t>
      </w:r>
      <w:r w:rsidRPr="00AB17DD">
        <w:t xml:space="preserve">, or is simply conflict </w:t>
      </w:r>
      <w:r w:rsidRPr="00AB17DD">
        <w:rPr>
          <w:i/>
        </w:rPr>
        <w:t>management</w:t>
      </w:r>
      <w:r w:rsidRPr="00AB17DD">
        <w:t>, or more pessimistically, conflict deferment.</w:t>
      </w:r>
      <w:r w:rsidRPr="00AB17DD">
        <w:fldChar w:fldCharType="begin" w:fldLock="1"/>
      </w:r>
      <w:r w:rsidRPr="00AB17DD">
        <w:instrText>ADDIN CSL_CITATION { "citationItems" : [ { "id" : "ITEM-1", "itemData" : { "DOI" : "10.1111/j.1469-8129.2008.00340.x", "ISSN" : "13545078", "PMID" : "2212", "abstract" : "Outlining Ireland's long history of ethno-national conflict, and the recent protracted 'peace process' in Northern Ireland, contextualises a critique of the problems underlying such conflicts, and the difficulties in transforming externally imposed conflict management into self-sustaining conflict resolution. It is argued that the problems and difficulties are deeply rooted in a thoroughly modern complex of nationalism, ethnicity, sovereignty and representative democracy. These are knotted together in a common denominator of territoriality, and the nub of the problem is the 'double paradox' of democracy's undemocratic origins in the present. Territoriality, the use of bordered geographical space, is a powerful and ubiquitous mode of social organisation which simplifies social control. But it can grossly oversimplify and distort social realities, particularly at borders and especially where territory is contested, thereby reinforcing other distorting simplifications typically found in ethno-national conflicts. In consequence, radical remedies are needed if the problems are to be overcome. Making ethno-national peace paradoxically calls for more creative border-crossing conflicts around other issues.", "author" : [ { "dropping-particle" : "", "family" : "Anderson", "given" : "James", "non-dropping-particle" : "", "parse-names" : false, "suffix" : "" } ], "container-title" : "Nations and Nationalism", "id" : "ITEM-1", "issue" : "1", "issued" : { "date-parts" : [ [ "2008", "1", "21" ] ] }, "note" : "Nations Natl Nations Natl\nISI:000255821500005; 300KA; Times Cited:6; Cited References Count:33", "page" : "85-104", "title" : "Partition, consociation, border-crossing: some lessons from the national conflict in Ireland/Northern Ireland", "type" : "article-journal", "volume" : "14" }, "uris" : [ "http://www.mendeley.com/documents/?uuid=6f2e0db4-06f4-4be9-81ea-f1be957c3539" ] } ], "mendeley" : { "formattedCitation" : "(Anderson, 2008)", "plainTextFormattedCitation" : "(Anderson, 2008)", "previouslyFormattedCitation" : "(Anderson, 2008)" }, "properties" : { "noteIndex" : 0 }, "schema" : "https://github.com/citation-style-language/schema/raw/master/csl-citation.json" }</w:instrText>
      </w:r>
      <w:r w:rsidRPr="00AB17DD">
        <w:fldChar w:fldCharType="separate"/>
      </w:r>
      <w:r w:rsidRPr="00AB17DD">
        <w:rPr>
          <w:noProof/>
        </w:rPr>
        <w:t>(Anderson, 2008)</w:t>
      </w:r>
      <w:r w:rsidRPr="00AB17DD">
        <w:fldChar w:fldCharType="end"/>
      </w:r>
      <w:r w:rsidRPr="00AB17DD">
        <w:t xml:space="preserve"> </w:t>
      </w:r>
    </w:p>
    <w:p w:rsidR="001F3AB5" w:rsidRPr="00AB17DD" w:rsidRDefault="001F3AB5" w:rsidP="001F3AB5">
      <w:pPr>
        <w:spacing w:line="480" w:lineRule="auto"/>
      </w:pPr>
      <w:r w:rsidRPr="00AB17DD">
        <w:t>Whereas ethno-national conflict since the establishment of Northern Ireland in 1921 sharpened the border with the Republic of Ireland, the European Single Market made it more permeable.</w:t>
      </w:r>
      <w:r w:rsidRPr="00AB17DD">
        <w:fldChar w:fldCharType="begin" w:fldLock="1"/>
      </w:r>
      <w:r w:rsidRPr="00AB17DD">
        <w:instrText>ADDIN CSL_CITATION { "citationItems" : [ { "id" : "ITEM-1", "itemData" : { "DOI" : "10.1080/00343409950078710", "ISSN" : "0034-3404", "PMID" : "3324", "abstract" : "The Irish state border provides an interesting case study of interrelationships between the sharpened borders of ethno-national conflict and the more permeable borders of the European Single Market. It highlights the interplay of state and ethno-national borders. It links questions often associated with the violent proliferation of borders in Eastern Europe with questions concerning the impact of European integration and other forms of globalization on borders in western Europe. The paper is divided into three main sections: (1) an outline of the origins and characteristics of a border which was imposed by an alliance between an imperial state and a cohesive ethno-national bloc in 1921, and subsequently consolidated by state building in Ireland, and by the growing significance of European state borders between the 1920s and the 1960s; (2) an analysis of how globalization and ethno-national division have interacted over the last 30 years to pose a major challenge to the 1921 border settlement; and (3) an assessment of how the recent Belfast Agreement (1998) has sought to utilize new opportunities afforded by globalization, including European integration, to underpin an accommodation between the two ethno-national groups and their conflicting territorial claims. The paper concludes by assessing how the Irish case illuminates the interactions between globalization and national conflict, and how these interactions are reshaping state borders. It considers the conditions under which the reconfiguration of state borders might help resolve or moderate national conflicts and the opposing territorial claims associated with them.", "author" : [ { "dropping-particle" : "", "family" : "Anderson", "given" : "James", "non-dropping-particle" : "", "parse-names" : false, "suffix" : "" }, { "dropping-particle" : "", "family" : "O'Dowd", "given" : "Liam", "non-dropping-particle" : "", "parse-names" : false, "suffix" : "" } ], "container-title" : "Regional Studies", "id" : "ITEM-1", "issue" : "7", "issued" : { "date-parts" : [ [ "1999", "10" ] ] }, "note" : "Reg Stud Reg Stud\nISI:000083100700008; 245HL; Times Cited:12; Cited References Count:55", "page" : "681-696", "title" : "Contested Borders: Globalization and Ethnonational Conflict in Ireland", "type" : "article-journal", "volume" : "33" }, "uris" : [ "http://www.mendeley.com/documents/?uuid=59fa70b7-cc9a-408c-9e78-7c8dd246c6c3" ] } ], "mendeley" : { "formattedCitation" : "(Anderson &amp; O\u2019Dowd, 1999)", "plainTextFormattedCitation" : "(Anderson &amp; O\u2019Dowd, 1999)", "previouslyFormattedCitation" : "(Anderson &amp; O\u2019Dowd, 1999)" }, "properties" : { "noteIndex" : 0 }, "schema" : "https://github.com/citation-style-language/schema/raw/master/csl-citation.json" }</w:instrText>
      </w:r>
      <w:r w:rsidRPr="00AB17DD">
        <w:fldChar w:fldCharType="separate"/>
      </w:r>
      <w:r w:rsidRPr="00AB17DD">
        <w:rPr>
          <w:noProof/>
        </w:rPr>
        <w:t>(Anderson &amp; O’Dowd, 1999)</w:t>
      </w:r>
      <w:r w:rsidRPr="00AB17DD">
        <w:fldChar w:fldCharType="end"/>
      </w:r>
      <w:r w:rsidRPr="00AB17DD">
        <w:t xml:space="preserve"> EU Peace Programmes for Northern Ireland and the Border Counties began in 1995 with the Special Support Programme for Peace and Reconciliation (Peace I) which provided €500 million in structural funds to the region, supplemented with an additional €167 from government; followed by the Programme for Peace and Reconciliation (Peace II), which provided €531million via the EU and an additional €304 from national governments between 2000 and 2004.</w:t>
      </w:r>
      <w:r w:rsidRPr="00AB17DD">
        <w:fldChar w:fldCharType="begin" w:fldLock="1"/>
      </w:r>
      <w:r w:rsidRPr="00AB17DD">
        <w:instrText>ADDIN CSL_CITATION { "citationItems" : [ { "id" : "ITEM-1", "itemData" : { "DOI" : "10.1080/07907180802246719", "ISSN" : "0790-7184", "PMID" : "2249", "abstract" : "Many of the proposed solutions to the Northern Ireland conflict failed partly because of over-concentration on the political through 'Track I' actors. So once a political agreement was reached, the conflict was viewed as having been 'solved', rather than opening the door to a whole new process. The Peace I and Peace II Programmes in Northern Ireland and the Border Counties in the Republic of Ireland have taken the opposite approach. By concentrating on the involvement of 'Track III' actors through social and economic development they have highlighted the equal value of grassroots participatory democracy to top-level representative democracy. This article examines the significance of this aspect of the work of the Peace programmes as a key post-conflict transformation tool since 1995 as the third phase of the programme Peace III comes on stream.", "author" : [ { "dropping-particle" : "", "family" : "Buchanan", "given" : "Sandra", "non-dropping-particle" : "", "parse-names" : false, "suffix" : "" } ], "container-title" : "Irish Political Studies", "id" : "ITEM-1", "issue" : "3", "issued" : { "date-parts" : [ [ "2008", "9" ] ] }, "note" : "Irish Polit Stud Irish Polit Stud\nISI:000207741700003; V14Ns; Times Cited:13; Cited References Count:61", "page" : "387-409", "title" : "Transforming Conflict in Northern Ireland and the Border Counties: Some Lessons from the Peace Programmes on Valuing Participative Democracy", "type" : "article-journal", "volume" : "23" }, "uris" : [ "http://www.mendeley.com/documents/?uuid=3cd630bf-bd12-4086-bf03-1e5fd7e548ce" ] } ], "mendeley" : { "formattedCitation" : "(Buchanan, 2008)", "plainTextFormattedCitation" : "(Buchanan, 2008)", "previouslyFormattedCitation" : "(Buchanan, 2008)" }, "properties" : { "noteIndex" : 0 }, "schema" : "https://github.com/citation-style-language/schema/raw/master/csl-citation.json" }</w:instrText>
      </w:r>
      <w:r w:rsidRPr="00AB17DD">
        <w:fldChar w:fldCharType="separate"/>
      </w:r>
      <w:r w:rsidRPr="00AB17DD">
        <w:rPr>
          <w:noProof/>
        </w:rPr>
        <w:t>(Buchanan, 2008)</w:t>
      </w:r>
      <w:r w:rsidRPr="00AB17DD">
        <w:fldChar w:fldCharType="end"/>
      </w:r>
      <w:r w:rsidRPr="00AB17DD">
        <w:t xml:space="preserve">  The third phase of the EU programme for Peace and Reconciliation in Northern Ireland took place over the years 2007 to 2013. </w:t>
      </w:r>
      <w:r w:rsidRPr="00AB17DD">
        <w:fldChar w:fldCharType="begin" w:fldLock="1"/>
      </w:r>
      <w:r w:rsidRPr="00AB17DD">
        <w:instrText>ADDIN CSL_CITATION { "citationItems" : [ { "id" : "ITEM-1", "itemData" : { "DOI" : "10.1093/cdj/bss054", "ISSN" : "0010-3802", "PMID" : "909", "abstract" : "Protracted ethnopolitical conflicts often emanate from structural violence, and from the vulnerability and marginalization of sections of a community. During the Troubles, Northern Ireland and the Border areas were characterized by an intractable conflict between Nationalists and Unionists. External economic assistance could be a key peacebuilding intervention in facilitating cross-community contacts and reconciliation, thereby addressing historical injustices in Northern Ireland by promoting justice, equality, and dignity. The European Union (EU) Programme for Peace and Reconciliation in Northern Ireland and the Border Region of Ireland, 2007-2013 (EU Peace III) is aimed at promoting reconciliation and in facilitating progress towards the building of a peaceful and stable society. This study examines the perceptions of 120 community group leaders, and community development officers in Derry and the Border Counties about the impact of the International Fund for Ireland (IFI) and the EU Peace III Fund in encouraging cross-community contact and reconciliation between the Nationalist and Unionist communities. While the IFI and the Peace III Fund have successfully promoted cross-community contact and reconciliation in Northern Ireland and the Border Area, this study indicates that both funders bureaucracy hinders sustainable community development. This study recommends the need to decentralize community peace projects to facilitate community ownership and their sustainability.", "author" : [ { "dropping-particle" : "", "family" : "Karari", "given" : "P", "non-dropping-particle" : "", "parse-names" : false, "suffix" : "" }, { "dropping-particle" : "", "family" : "Byrne", "given" : "S", "non-dropping-particle" : "", "parse-names" : false, "suffix" : "" }, { "dropping-particle" : "", "family" : "Skarlato", "given" : "O", "non-dropping-particle" : "", "parse-names" : false, "suffix" : "" }, { "dropping-particle" : "", "family" : "Ahmed", "given" : "K", "non-dropping-particle" : "", "parse-names" : false, "suffix" : "" }, { "dropping-particle" : "", "family" : "Hyde", "given" : "J M", "non-dropping-particle" : "", "parse-names" : false, "suffix" : "" } ], "container-title" : "Community Development Journal", "id" : "ITEM-1", "issue" : "4", "issued" : { "date-parts" : [ [ "2013", "10", "1" ] ] }, "note" : "Community Dev J Community Dev J\nISI:000325487200007; 232IO; Times Cited:2; Cited References Count:47", "page" : "587-604", "title" : "The role of external economic assistance in nurturing cross-community contact and reconciliation in Northern Ireland and the Border Counties", "type" : "article-journal", "volume" : "48" }, "uris" : [ "http://www.mendeley.com/documents/?uuid=52800283-631a-4b4c-8cd3-17bd4564b8ac" ] } ], "mendeley" : { "formattedCitation" : "(Karari, Byrne, Skarlato, Ahmed, &amp; Hyde, 2013)", "plainTextFormattedCitation" : "(Karari, Byrne, Skarlato, Ahmed, &amp; Hyde, 2013)", "previouslyFormattedCitation" : "(Karari, Byrne, Skarlato, Ahmed, &amp; Hyde, 2013)" }, "properties" : { "noteIndex" : 0 }, "schema" : "https://github.com/citation-style-language/schema/raw/master/csl-citation.json" }</w:instrText>
      </w:r>
      <w:r w:rsidRPr="00AB17DD">
        <w:fldChar w:fldCharType="separate"/>
      </w:r>
      <w:r w:rsidRPr="00AB17DD">
        <w:rPr>
          <w:noProof/>
        </w:rPr>
        <w:t>(Karari, Byrne, Skarlato, Ahmed, &amp; Hyde, 2013)</w:t>
      </w:r>
      <w:r w:rsidRPr="00AB17DD">
        <w:fldChar w:fldCharType="end"/>
      </w:r>
      <w:r w:rsidRPr="00AB17DD">
        <w:t xml:space="preserve"> Whereas the GFA focused on building peace by addressing the leaders of political factions, EU-led initiatives focused on economic investment and to greater community engagement as a means of building more lasting stability in Northern Ireland and the Irish border. The UK’s departure places the future of further initiatives in doubt, though the Irish border remains a key priority for EU-UK Brexit negotiations.</w:t>
      </w:r>
    </w:p>
    <w:p w:rsidR="001F3AB5" w:rsidRPr="00C97434" w:rsidRDefault="001F3AB5" w:rsidP="007B6D34">
      <w:pPr>
        <w:rPr>
          <w:b/>
        </w:rPr>
      </w:pPr>
      <w:bookmarkStart w:id="0" w:name="_GoBack"/>
      <w:bookmarkEnd w:id="0"/>
    </w:p>
    <w:sectPr w:rsidR="001F3AB5" w:rsidRPr="00C974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993"/>
    <w:rsid w:val="001F3AB5"/>
    <w:rsid w:val="002E108B"/>
    <w:rsid w:val="00327D17"/>
    <w:rsid w:val="00677993"/>
    <w:rsid w:val="007B6D34"/>
    <w:rsid w:val="00C035B8"/>
    <w:rsid w:val="00C97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A50884-51B3-4E30-893D-B3E831B58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7B6D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B6D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B6D34"/>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7B6D3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7</Pages>
  <Words>5269</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35238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Minton</dc:creator>
  <cp:keywords/>
  <dc:description/>
  <cp:lastModifiedBy>Jonathan Minton</cp:lastModifiedBy>
  <cp:revision>2</cp:revision>
  <dcterms:created xsi:type="dcterms:W3CDTF">2018-04-13T14:48:00Z</dcterms:created>
  <dcterms:modified xsi:type="dcterms:W3CDTF">2018-04-13T15:41:00Z</dcterms:modified>
</cp:coreProperties>
</file>