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Symbol" w:hAnsi="Symbol" w:cs="Aria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More segregated</w:t>
      </w:r>
      <w:r w:rsidR="00880EBD">
        <w:rPr>
          <w:rFonts w:ascii="Calibri" w:hAnsi="Calibri" w:cs="Arial"/>
          <w:color w:val="1F497D"/>
          <w:sz w:val="22"/>
          <w:szCs w:val="22"/>
        </w:rPr>
        <w:t xml:space="preserve"> (Actually more uneven)</w:t>
      </w:r>
      <w:bookmarkStart w:id="0" w:name="_GoBack"/>
      <w:bookmarkEnd w:id="0"/>
    </w:p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The 1 group version of the segregation index, D, is used. This is called IS or the segregation index in 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geosegregation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 analyser, but is algebraically identical to D. </w:t>
      </w:r>
    </w:p>
    <w:p w:rsidR="003276A5" w:rsidRDefault="003276A5" w:rsidP="003276A5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Calibri" w:hAnsi="Calibri" w:cs="Arial"/>
          <w:color w:val="1F497D"/>
          <w:sz w:val="22"/>
          <w:szCs w:val="22"/>
        </w:rPr>
        <w:t>D values range from 0 to 1, with 0 indicating no segregation, and 1 indicating complete segregation. Therefore increases between the two censuses indicate more segregation.</w:t>
      </w:r>
    </w:p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Symbol" w:hAnsi="Symbol" w:cs="Aria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More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isolated</w:t>
      </w:r>
    </w:p>
    <w:p w:rsidR="00A47714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The correlation ratio, Eta2, was used. This is a modification of the other indicator in this dimension, the Isolation index, which corrects for different minority and majority population sixes.</w:t>
      </w:r>
    </w:p>
    <w:p w:rsidR="00A47714" w:rsidRDefault="00A47714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For Eta2, scores can vary from 0 to 1. Higher scores indicate greater isolation, lower scores less segregation, therefore increases in the score between two censuses mean greater isolation over time. A simple illustration is shown below.</w:t>
      </w:r>
    </w:p>
    <w:p w:rsidR="00A47714" w:rsidRDefault="00A47714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38FA5E02" wp14:editId="4E5C1335">
            <wp:extent cx="5731510" cy="951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A5" w:rsidRDefault="00A47714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 w:rsidRPr="00A47714">
        <w:rPr>
          <w:noProof/>
        </w:rPr>
        <w:drawing>
          <wp:inline distT="0" distB="0" distL="0" distR="0">
            <wp:extent cx="5731510" cy="145903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6A5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3276A5" w:rsidRDefault="003276A5" w:rsidP="003276A5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</w:p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Symbol" w:hAnsi="Symbol" w:cs="Aria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More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dense</w:t>
      </w:r>
    </w:p>
    <w:p w:rsidR="00593362" w:rsidRDefault="00593362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The absolute concentration index, ACO, was used. This produces a value from 0 to 1 which </w:t>
      </w:r>
      <w:r w:rsidR="00F74099">
        <w:rPr>
          <w:rFonts w:ascii="Calibri" w:hAnsi="Calibri" w:cs="Arial"/>
          <w:color w:val="1F497D"/>
          <w:sz w:val="22"/>
          <w:szCs w:val="22"/>
        </w:rPr>
        <w:t xml:space="preserve">attempts to summarise the preference for the minority group to live in geographically concentrated areas. A score of 1 indicates the greatest theoretically possible level of spatial concentration for a minority group, i.e. a preference for density; and a score of 0 indicates the greatest theoretically possible level of spatial </w:t>
      </w:r>
      <w:proofErr w:type="spellStart"/>
      <w:r w:rsidR="00F74099">
        <w:rPr>
          <w:rFonts w:ascii="Calibri" w:hAnsi="Calibri" w:cs="Arial"/>
          <w:color w:val="1F497D"/>
          <w:sz w:val="22"/>
          <w:szCs w:val="22"/>
        </w:rPr>
        <w:t>deconcentration</w:t>
      </w:r>
      <w:proofErr w:type="spellEnd"/>
      <w:r w:rsidR="00F74099">
        <w:rPr>
          <w:rFonts w:ascii="Calibri" w:hAnsi="Calibri" w:cs="Arial"/>
          <w:color w:val="1F497D"/>
          <w:sz w:val="22"/>
          <w:szCs w:val="22"/>
        </w:rPr>
        <w:t xml:space="preserve"> for a minority group, i.e. an aversion to density. </w:t>
      </w:r>
    </w:p>
    <w:p w:rsidR="00F74099" w:rsidRDefault="00F74099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An increase in the score between the two censuses therefore indicates an increasing preference for spatial density. </w:t>
      </w:r>
    </w:p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Symbol" w:hAnsi="Symbol" w:cs="Aria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More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clustered</w:t>
      </w:r>
    </w:p>
    <w:p w:rsidR="00593362" w:rsidRDefault="00593362" w:rsidP="00593362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The absolute clustering index, ACL, was used. This is a measure of the proportion of a total minority population in different tracts weighted upwards by the presence of members of that minority group </w:t>
      </w:r>
      <w:r>
        <w:rPr>
          <w:rFonts w:ascii="Calibri" w:hAnsi="Calibri" w:cs="Arial"/>
          <w:color w:val="1F497D"/>
          <w:sz w:val="22"/>
          <w:szCs w:val="22"/>
        </w:rPr>
        <w:lastRenderedPageBreak/>
        <w:t xml:space="preserve">in contiguous tracts (in </w:t>
      </w:r>
      <w:proofErr w:type="spellStart"/>
      <w:r>
        <w:rPr>
          <w:rFonts w:ascii="Calibri" w:hAnsi="Calibri" w:cs="Arial"/>
          <w:color w:val="1F497D"/>
          <w:sz w:val="22"/>
          <w:szCs w:val="22"/>
        </w:rPr>
        <w:t>geosegregation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 analyser and most GIS programs; a slightly different approach based on distance between centroids was used to weight in Massey &amp; Denton 1988), and adjusted by total population size to fit on a 0-1 scale. Higher scores mean more clustered; lower scores mean less clustered. </w:t>
      </w:r>
    </w:p>
    <w:p w:rsidR="00593362" w:rsidRDefault="00593362" w:rsidP="003276A5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</w:p>
    <w:p w:rsidR="003276A5" w:rsidRDefault="003276A5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Symbol" w:hAnsi="Symbol" w:cs="Arial"/>
          <w:color w:val="1F497D"/>
          <w:sz w:val="22"/>
          <w:szCs w:val="22"/>
        </w:rPr>
        <w:t></w:t>
      </w:r>
      <w:r>
        <w:rPr>
          <w:color w:val="1F497D"/>
          <w:sz w:val="14"/>
          <w:szCs w:val="14"/>
        </w:rPr>
        <w:t> 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More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central</w:t>
      </w:r>
    </w:p>
    <w:p w:rsidR="00F74099" w:rsidRDefault="00F74099" w:rsidP="003276A5">
      <w:pPr>
        <w:pStyle w:val="NormalWeb"/>
        <w:shd w:val="clear" w:color="auto" w:fill="FFFFFF"/>
        <w:rPr>
          <w:rFonts w:ascii="Calibri" w:hAnsi="Calibri" w:cs="Arial"/>
          <w:color w:val="1F497D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The absolute centralisation index, ACE, was used. Unlike the other indices the possible values of this index vary from -1 to +1, and attempts to summarise the relationship between where a minority group lives and a city or regional centre. Intuitively, positive values can be interpreted as meaning that the city centre ‘attracts’ the minority population, with a greater preference for living near to rather than far from this centre; and negative values can be interpreted as meaning the city centre ‘repels’ the minority population, with a greater preference for living further rather than closer to this centre. Values at and near to zero indicate that the city centre appears to have </w:t>
      </w:r>
      <w:r w:rsidR="00247FAF">
        <w:rPr>
          <w:rFonts w:ascii="Calibri" w:hAnsi="Calibri" w:cs="Arial"/>
          <w:color w:val="1F497D"/>
          <w:sz w:val="22"/>
          <w:szCs w:val="22"/>
        </w:rPr>
        <w:t xml:space="preserve">no influence on the spatial distribution of the minority population. </w:t>
      </w:r>
    </w:p>
    <w:p w:rsidR="00247FAF" w:rsidRDefault="00247FAF" w:rsidP="003276A5">
      <w:pPr>
        <w:pStyle w:val="NormalWeb"/>
        <w:shd w:val="clear" w:color="auto" w:fill="FFFFFF"/>
        <w:rPr>
          <w:rFonts w:ascii="Arial" w:hAnsi="Arial" w:cs="Arial"/>
          <w:color w:val="222222"/>
          <w:sz w:val="29"/>
          <w:szCs w:val="29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Increases in the index from 2001 to 2011 therefore mean either that a minority group has become ‘more attracted’ or ‘less repelled’ by the city/regional centre between the two censuses. </w:t>
      </w:r>
    </w:p>
    <w:sectPr w:rsidR="0024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A5"/>
    <w:rsid w:val="00247FAF"/>
    <w:rsid w:val="003276A5"/>
    <w:rsid w:val="00593362"/>
    <w:rsid w:val="00880EBD"/>
    <w:rsid w:val="00A47714"/>
    <w:rsid w:val="00C97080"/>
    <w:rsid w:val="00DC0B9F"/>
    <w:rsid w:val="00F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00A0B-7F7D-4A49-B630-0B643BF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2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3</cp:revision>
  <dcterms:created xsi:type="dcterms:W3CDTF">2016-03-24T09:56:00Z</dcterms:created>
  <dcterms:modified xsi:type="dcterms:W3CDTF">2016-03-24T10:53:00Z</dcterms:modified>
</cp:coreProperties>
</file>