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0C" w:rsidRPr="005C0529" w:rsidRDefault="0075460C" w:rsidP="001E36DA">
      <w:pPr>
        <w:pStyle w:val="Title"/>
        <w:ind w:left="-567" w:right="-472"/>
        <w:rPr>
          <w:sz w:val="48"/>
        </w:rPr>
      </w:pPr>
      <w:r w:rsidRPr="005C0529">
        <w:rPr>
          <w:sz w:val="48"/>
        </w:rPr>
        <w:t xml:space="preserve">Does Scotland deserve its reputation as the ‘Sick Man of Europe’? </w:t>
      </w:r>
      <w:r w:rsidRPr="005C0529">
        <w:rPr>
          <w:i/>
          <w:sz w:val="48"/>
        </w:rPr>
        <w:t>It depends what you mean by Europe.</w:t>
      </w:r>
    </w:p>
    <w:p w:rsidR="0075460C" w:rsidRDefault="0075460C" w:rsidP="001E36DA">
      <w:pPr>
        <w:pStyle w:val="Subtitle"/>
        <w:ind w:left="-142" w:right="-472" w:hanging="142"/>
        <w:jc w:val="right"/>
      </w:pPr>
      <w:r>
        <w:t>(But the answer’s probably ‘yes’)</w:t>
      </w:r>
    </w:p>
    <w:p w:rsidR="00A27815" w:rsidRDefault="00A27815" w:rsidP="001E36DA">
      <w:pPr>
        <w:spacing w:after="0"/>
        <w:sectPr w:rsidR="00A2781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27815" w:rsidRDefault="0075460C" w:rsidP="005C676F">
      <w:pPr>
        <w:spacing w:line="276" w:lineRule="auto"/>
        <w:ind w:left="-284" w:right="-236"/>
        <w:jc w:val="both"/>
      </w:pPr>
      <w:r w:rsidRPr="005C0529">
        <w:rPr>
          <w:b/>
        </w:rPr>
        <w:t>The term ‘</w:t>
      </w:r>
      <w:r w:rsidR="00A27815" w:rsidRPr="005C0529">
        <w:rPr>
          <w:b/>
        </w:rPr>
        <w:t>S</w:t>
      </w:r>
      <w:r w:rsidRPr="005C0529">
        <w:rPr>
          <w:b/>
        </w:rPr>
        <w:t xml:space="preserve">ick </w:t>
      </w:r>
      <w:r w:rsidR="00A27815" w:rsidRPr="005C0529">
        <w:rPr>
          <w:b/>
        </w:rPr>
        <w:t>M</w:t>
      </w:r>
      <w:r w:rsidRPr="005C0529">
        <w:rPr>
          <w:b/>
        </w:rPr>
        <w:t>an of Europe’</w:t>
      </w:r>
      <w:r>
        <w:t xml:space="preserve"> was first used in 1853 to describe the Ottoman Empire. In the decades since</w:t>
      </w:r>
      <w:r w:rsidR="00A27815">
        <w:t>,</w:t>
      </w:r>
      <w:r>
        <w:t xml:space="preserve"> this epithet has been applied to many European nations, including France, Greece, Germany,</w:t>
      </w:r>
      <w:r w:rsidR="00A27815">
        <w:t xml:space="preserve"> Finland,</w:t>
      </w:r>
      <w:r>
        <w:t xml:space="preserve"> and Italy. However, </w:t>
      </w:r>
      <w:r w:rsidR="00A27815">
        <w:t>despite the use of the word ‘sick’, most of these designations</w:t>
      </w:r>
      <w:r w:rsidR="00704C17">
        <w:t xml:space="preserve"> have been made on grounds of </w:t>
      </w:r>
      <w:r w:rsidR="00A27815">
        <w:t xml:space="preserve">lacklustre economic </w:t>
      </w:r>
      <w:r w:rsidR="00A27815">
        <w:t xml:space="preserve">performance, rather than public health. The (more appropriate) application of the term to Scotland has been </w:t>
      </w:r>
      <w:r w:rsidR="002D75D6">
        <w:t>used largely by epidemiologists</w:t>
      </w:r>
      <w:r w:rsidR="00A27815">
        <w:t xml:space="preserve"> to refer to the </w:t>
      </w:r>
      <w:r w:rsidR="00A27815">
        <w:rPr>
          <w:i/>
        </w:rPr>
        <w:t>relative mortality</w:t>
      </w:r>
      <w:r w:rsidR="00EC6ECF">
        <w:rPr>
          <w:i/>
        </w:rPr>
        <w:t>/morbidity</w:t>
      </w:r>
      <w:r w:rsidR="00A27815">
        <w:rPr>
          <w:i/>
        </w:rPr>
        <w:t xml:space="preserve"> disadvantage</w:t>
      </w:r>
      <w:r w:rsidR="00A27815">
        <w:t xml:space="preserve"> faced by Scottish populations compared, </w:t>
      </w:r>
      <w:r w:rsidR="002D75D6">
        <w:t>mainly</w:t>
      </w:r>
      <w:r w:rsidR="00A27815">
        <w:t xml:space="preserve">, with our </w:t>
      </w:r>
      <w:r w:rsidR="00A27815" w:rsidRPr="00C45547">
        <w:rPr>
          <w:i/>
        </w:rPr>
        <w:t>Western European</w:t>
      </w:r>
      <w:r w:rsidR="005C0529">
        <w:t xml:space="preserve"> neighbours.</w:t>
      </w:r>
    </w:p>
    <w:p w:rsidR="005C676F" w:rsidRDefault="005C676F" w:rsidP="005C676F">
      <w:pPr>
        <w:spacing w:line="276" w:lineRule="auto"/>
        <w:ind w:left="-284" w:right="-236"/>
        <w:jc w:val="both"/>
        <w:sectPr w:rsidR="005C676F" w:rsidSect="00A2781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10277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5200"/>
      </w:tblGrid>
      <w:tr w:rsidR="005C0529" w:rsidTr="00402885">
        <w:trPr>
          <w:trHeight w:val="7000"/>
        </w:trPr>
        <w:tc>
          <w:tcPr>
            <w:tcW w:w="5077" w:type="dxa"/>
          </w:tcPr>
          <w:p w:rsidR="005C676F" w:rsidRDefault="005C676F" w:rsidP="00C45547">
            <w:pPr>
              <w:spacing w:line="276" w:lineRule="auto"/>
              <w:ind w:left="175"/>
              <w:jc w:val="both"/>
              <w:rPr>
                <w:b/>
              </w:rPr>
            </w:pPr>
          </w:p>
          <w:p w:rsidR="005C0529" w:rsidRDefault="00C45547" w:rsidP="00C45547">
            <w:pPr>
              <w:spacing w:line="276" w:lineRule="auto"/>
              <w:ind w:left="175"/>
              <w:jc w:val="both"/>
            </w:pPr>
            <w:r w:rsidRPr="005C0529">
              <w:rPr>
                <w:b/>
              </w:rPr>
              <w:t xml:space="preserve">Life expectancy in Scotland </w:t>
            </w:r>
            <w:r>
              <w:t>lags behind our nearest neighbours; we should expect to live longer than we do given how wealthy we are. But comparison with the rest of Europe as a whole shows a more complex picture.</w:t>
            </w:r>
            <w:r w:rsidR="005C0529">
              <w:t xml:space="preserve"> </w:t>
            </w:r>
            <w:r w:rsidR="005C0529" w:rsidRPr="005C676F">
              <w:rPr>
                <w:b/>
              </w:rPr>
              <w:t>Though life expectancies (below) in Scotland</w:t>
            </w:r>
            <w:r w:rsidR="005C0529">
              <w:t xml:space="preserve"> have fallen below those in Western and Northern Europe, they remain above those in Eastern Europe.</w:t>
            </w:r>
            <w:r w:rsidR="00F125A9">
              <w:t xml:space="preserve"> The improvements in Southern European life expectancies have been remarkable.</w:t>
            </w:r>
          </w:p>
          <w:p w:rsidR="005C0529" w:rsidRDefault="00C45547" w:rsidP="00C66907">
            <w:pPr>
              <w:spacing w:line="276" w:lineRule="auto"/>
              <w:ind w:left="175"/>
              <w:jc w:val="both"/>
            </w:pPr>
            <w:r>
              <w:t xml:space="preserve"> </w:t>
            </w:r>
            <w:r w:rsidR="005C0529">
              <w:rPr>
                <w:noProof/>
                <w:lang w:eastAsia="en-GB"/>
              </w:rPr>
              <w:drawing>
                <wp:inline distT="0" distB="0" distL="0" distR="0" wp14:anchorId="55170C8E" wp14:editId="70497482">
                  <wp:extent cx="2742176" cy="2708664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31" cy="27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0" w:type="dxa"/>
            <w:vAlign w:val="center"/>
          </w:tcPr>
          <w:p w:rsidR="0075460C" w:rsidRDefault="0075460C" w:rsidP="00F125A9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B37F58E" wp14:editId="7CD3F5C4">
                  <wp:extent cx="3164907" cy="43541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961" r="14266"/>
                          <a:stretch/>
                        </pic:blipFill>
                        <pic:spPr bwMode="auto">
                          <a:xfrm>
                            <a:off x="0" y="0"/>
                            <a:ext cx="3164907" cy="4354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5C0529" w:rsidRDefault="005C0529" w:rsidP="005C0529">
      <w:pPr>
        <w:spacing w:after="0" w:line="276" w:lineRule="auto"/>
        <w:ind w:left="-284" w:right="-94"/>
        <w:jc w:val="both"/>
        <w:sectPr w:rsidR="005C0529" w:rsidSect="00A278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86D59" w:rsidRDefault="005C0529" w:rsidP="005C676F">
      <w:pPr>
        <w:spacing w:line="276" w:lineRule="auto"/>
        <w:ind w:left="-284" w:right="-236"/>
        <w:jc w:val="both"/>
      </w:pPr>
      <w:r w:rsidRPr="00F125A9">
        <w:rPr>
          <w:b/>
        </w:rPr>
        <w:t>The figure above-right</w:t>
      </w:r>
      <w:r>
        <w:t xml:space="preserve"> compares mortality risks in Scotland </w:t>
      </w:r>
      <w:r w:rsidR="005C676F">
        <w:t>with the rest of Europe</w:t>
      </w:r>
      <w:r>
        <w:t xml:space="preserve">, for each age in single years and each year from 1950. Reds show higher risks </w:t>
      </w:r>
      <w:r w:rsidR="005C676F">
        <w:t xml:space="preserve">in Scotland; </w:t>
      </w:r>
      <w:r>
        <w:t xml:space="preserve">darker shades show </w:t>
      </w:r>
      <w:r w:rsidR="005C676F">
        <w:t>bigger</w:t>
      </w:r>
      <w:r>
        <w:t xml:space="preserve"> differences. The diagonal lines indicate different birth cohorts. Scotland’s mortality risks were </w:t>
      </w:r>
      <w:r w:rsidR="00F125A9">
        <w:t xml:space="preserve">higher </w:t>
      </w:r>
      <w:r>
        <w:t xml:space="preserve">than those of Eastern Europe </w:t>
      </w:r>
      <w:r w:rsidR="00F125A9">
        <w:t xml:space="preserve">for cohorts born before 1920, for example, but for all later cohorts have been </w:t>
      </w:r>
      <w:r w:rsidR="00F125A9">
        <w:t xml:space="preserve">lower. </w:t>
      </w:r>
      <w:r w:rsidR="00F125A9" w:rsidRPr="00C66907">
        <w:rPr>
          <w:b/>
        </w:rPr>
        <w:t xml:space="preserve">Compared with </w:t>
      </w:r>
      <w:r w:rsidR="00C66907" w:rsidRPr="00C66907">
        <w:rPr>
          <w:b/>
        </w:rPr>
        <w:t>Southern Europe</w:t>
      </w:r>
      <w:r w:rsidR="00C66907">
        <w:t xml:space="preserve">, mortality risks tended to be higher in Scotland from around age 40 onwards. </w:t>
      </w:r>
      <w:r w:rsidR="005C676F">
        <w:rPr>
          <w:b/>
        </w:rPr>
        <w:t>Since</w:t>
      </w:r>
      <w:r w:rsidR="00C66907" w:rsidRPr="002D75D6">
        <w:rPr>
          <w:b/>
        </w:rPr>
        <w:t xml:space="preserve"> 2000</w:t>
      </w:r>
      <w:r w:rsidR="00C66907">
        <w:t xml:space="preserve">, relative risks from age 30 to 40 are particularly high, leading to a new dark red ‘hotspot’, and cause of concern, especially if relatively higher risks persist into older ages. </w:t>
      </w:r>
      <w:r w:rsidR="00C66907">
        <w:rPr>
          <w:b/>
          <w:u w:val="single"/>
        </w:rPr>
        <w:t>Further Reading:</w:t>
      </w:r>
      <w:r w:rsidR="00C66907" w:rsidRPr="00402885">
        <w:t xml:space="preserve"> </w:t>
      </w:r>
      <w:r w:rsidR="00402885" w:rsidRPr="00402885">
        <w:t>Visualising &amp; quantifying ‘excess deaths’: http://jech.bmj.com/content/71/5/461</w:t>
      </w:r>
      <w:r w:rsidR="00C66907">
        <w:t xml:space="preserve"> </w:t>
      </w:r>
    </w:p>
    <w:sectPr w:rsidR="00786D59" w:rsidSect="005C052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0C"/>
    <w:rsid w:val="000F0986"/>
    <w:rsid w:val="001E36DA"/>
    <w:rsid w:val="002D75D6"/>
    <w:rsid w:val="00402885"/>
    <w:rsid w:val="00471F7A"/>
    <w:rsid w:val="005C0529"/>
    <w:rsid w:val="005C676F"/>
    <w:rsid w:val="00704C17"/>
    <w:rsid w:val="0075460C"/>
    <w:rsid w:val="00A27815"/>
    <w:rsid w:val="00C45547"/>
    <w:rsid w:val="00C66907"/>
    <w:rsid w:val="00EC6ECF"/>
    <w:rsid w:val="00F1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C5925-DBDD-4F07-8BA8-720F9BC4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6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60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5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82D9D-BF2D-4080-A52A-92DBFD0B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5</cp:revision>
  <cp:lastPrinted>2018-06-15T10:14:00Z</cp:lastPrinted>
  <dcterms:created xsi:type="dcterms:W3CDTF">2018-06-14T10:26:00Z</dcterms:created>
  <dcterms:modified xsi:type="dcterms:W3CDTF">2018-06-15T12:33:00Z</dcterms:modified>
</cp:coreProperties>
</file>