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AAD" w:rsidRDefault="000B23B5">
      <w:pPr>
        <w:rPr>
          <w:rFonts w:ascii="Calibri" w:hAnsi="Calibri"/>
          <w:b/>
          <w:bCs/>
          <w:color w:val="222222"/>
          <w:sz w:val="19"/>
          <w:szCs w:val="19"/>
          <w:shd w:val="clear" w:color="auto" w:fill="FFFFFF"/>
        </w:rPr>
      </w:pPr>
      <w:r>
        <w:rPr>
          <w:rFonts w:ascii="Calibri" w:hAnsi="Calibri"/>
          <w:b/>
          <w:bCs/>
          <w:color w:val="222222"/>
          <w:sz w:val="19"/>
          <w:szCs w:val="19"/>
          <w:shd w:val="clear" w:color="auto" w:fill="FFFFFF"/>
        </w:rPr>
        <w:t>International net migra</w:t>
      </w:r>
      <w:r w:rsidR="009838E0">
        <w:rPr>
          <w:rFonts w:ascii="Calibri" w:hAnsi="Calibri"/>
          <w:b/>
          <w:bCs/>
          <w:color w:val="222222"/>
          <w:sz w:val="19"/>
          <w:szCs w:val="19"/>
          <w:shd w:val="clear" w:color="auto" w:fill="FFFFFF"/>
        </w:rPr>
        <w:t xml:space="preserve">tion in the context of English, Welsh and Scottish </w:t>
      </w:r>
      <w:r>
        <w:rPr>
          <w:rFonts w:ascii="Calibri" w:hAnsi="Calibri"/>
          <w:b/>
          <w:bCs/>
          <w:color w:val="222222"/>
          <w:sz w:val="19"/>
          <w:szCs w:val="19"/>
          <w:shd w:val="clear" w:color="auto" w:fill="FFFFFF"/>
        </w:rPr>
        <w:t>regional population demography, 2002-2013</w:t>
      </w:r>
      <w:r w:rsidR="009838E0">
        <w:rPr>
          <w:rFonts w:ascii="Calibri" w:hAnsi="Calibri"/>
          <w:b/>
          <w:bCs/>
          <w:color w:val="222222"/>
          <w:sz w:val="19"/>
          <w:szCs w:val="19"/>
          <w:shd w:val="clear" w:color="auto" w:fill="FFFFFF"/>
        </w:rPr>
        <w:t>, using a ‘Data Tableau’</w:t>
      </w:r>
    </w:p>
    <w:p w:rsidR="000B23B5" w:rsidRDefault="002722FC">
      <w:pPr>
        <w:rPr>
          <w:rFonts w:ascii="Calibri" w:hAnsi="Calibri"/>
          <w:b/>
          <w:bCs/>
          <w:color w:val="222222"/>
          <w:sz w:val="19"/>
          <w:szCs w:val="19"/>
          <w:shd w:val="clear" w:color="auto" w:fill="FFFFFF"/>
        </w:rPr>
      </w:pPr>
      <w:r>
        <w:rPr>
          <w:rFonts w:ascii="Calibri" w:hAnsi="Calibri"/>
          <w:b/>
          <w:bCs/>
          <w:color w:val="222222"/>
          <w:sz w:val="19"/>
          <w:szCs w:val="19"/>
          <w:shd w:val="clear" w:color="auto" w:fill="FFFFFF"/>
        </w:rPr>
        <w:t>Dr Jon Minton, University of Glasgow, UK</w:t>
      </w:r>
    </w:p>
    <w:p w:rsidR="002722FC" w:rsidRDefault="002722FC">
      <w:pPr>
        <w:rPr>
          <w:rFonts w:ascii="Calibri" w:hAnsi="Calibri"/>
          <w:b/>
          <w:bCs/>
          <w:color w:val="222222"/>
          <w:sz w:val="19"/>
          <w:szCs w:val="19"/>
          <w:shd w:val="clear" w:color="auto" w:fill="FFFFFF"/>
        </w:rPr>
      </w:pPr>
    </w:p>
    <w:p w:rsidR="000B23B5" w:rsidRDefault="000B23B5">
      <w:pPr>
        <w:rPr>
          <w:rFonts w:ascii="Calibri" w:hAnsi="Calibri"/>
          <w:b/>
          <w:bCs/>
          <w:color w:val="222222"/>
          <w:sz w:val="19"/>
          <w:szCs w:val="19"/>
          <w:shd w:val="clear" w:color="auto" w:fill="FFFFFF"/>
        </w:rPr>
      </w:pPr>
      <w:r>
        <w:rPr>
          <w:rFonts w:ascii="Calibri" w:hAnsi="Calibri"/>
          <w:b/>
          <w:bCs/>
          <w:color w:val="222222"/>
          <w:sz w:val="19"/>
          <w:szCs w:val="19"/>
          <w:shd w:val="clear" w:color="auto" w:fill="FFFFFF"/>
        </w:rPr>
        <w:t>Introduction</w:t>
      </w:r>
    </w:p>
    <w:p w:rsidR="002722FC" w:rsidRDefault="000B23B5" w:rsidP="000B23B5">
      <w:pPr>
        <w:shd w:val="clear" w:color="auto" w:fill="FFFFFF"/>
        <w:spacing w:after="0" w:line="240" w:lineRule="auto"/>
        <w:rPr>
          <w:rFonts w:ascii="Arial" w:eastAsia="Times New Roman" w:hAnsi="Arial" w:cs="Arial"/>
          <w:color w:val="222222"/>
          <w:sz w:val="15"/>
          <w:szCs w:val="15"/>
          <w:lang w:eastAsia="en-GB"/>
        </w:rPr>
      </w:pPr>
      <w:r w:rsidRPr="000B23B5">
        <w:rPr>
          <w:rFonts w:ascii="Arial" w:eastAsia="Times New Roman" w:hAnsi="Arial" w:cs="Arial"/>
          <w:color w:val="222222"/>
          <w:sz w:val="15"/>
          <w:szCs w:val="15"/>
          <w:lang w:eastAsia="en-GB"/>
        </w:rPr>
        <w:t>International net migration is a hot political issue in the UK. In the 2015 UK General Election, UKIP, an anti-immigration party, was able to secur</w:t>
      </w:r>
      <w:r w:rsidR="006A095C">
        <w:rPr>
          <w:rFonts w:ascii="Arial" w:eastAsia="Times New Roman" w:hAnsi="Arial" w:cs="Arial"/>
          <w:color w:val="222222"/>
          <w:sz w:val="15"/>
          <w:szCs w:val="15"/>
          <w:lang w:eastAsia="en-GB"/>
        </w:rPr>
        <w:t xml:space="preserve">e more than four million votes. The </w:t>
      </w:r>
      <w:r w:rsidRPr="000B23B5">
        <w:rPr>
          <w:rFonts w:ascii="Arial" w:eastAsia="Times New Roman" w:hAnsi="Arial" w:cs="Arial"/>
          <w:color w:val="222222"/>
          <w:sz w:val="15"/>
          <w:szCs w:val="15"/>
          <w:lang w:eastAsia="en-GB"/>
        </w:rPr>
        <w:t xml:space="preserve">Conservative government </w:t>
      </w:r>
      <w:r w:rsidR="006A095C">
        <w:rPr>
          <w:rFonts w:ascii="Arial" w:eastAsia="Times New Roman" w:hAnsi="Arial" w:cs="Arial"/>
          <w:color w:val="222222"/>
          <w:sz w:val="15"/>
          <w:szCs w:val="15"/>
          <w:lang w:eastAsia="en-GB"/>
        </w:rPr>
        <w:t>had repeatedly promised to reduce international net migration to the ‘tens of thousands’, and since the 2015 election to restrict in-migration flows by renegotiatin</w:t>
      </w:r>
      <w:r w:rsidR="002722FC">
        <w:rPr>
          <w:rFonts w:ascii="Arial" w:eastAsia="Times New Roman" w:hAnsi="Arial" w:cs="Arial"/>
          <w:color w:val="222222"/>
          <w:sz w:val="15"/>
          <w:szCs w:val="15"/>
          <w:lang w:eastAsia="en-GB"/>
        </w:rPr>
        <w:t>g the UK’s relationship with the EU.</w:t>
      </w:r>
    </w:p>
    <w:p w:rsidR="000B23B5" w:rsidRDefault="008316F6"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 xml:space="preserve">The aim of this research is to use effective data visualisation to put international </w:t>
      </w:r>
      <w:proofErr w:type="spellStart"/>
      <w:r w:rsidR="000B23B5">
        <w:rPr>
          <w:rFonts w:ascii="Arial" w:eastAsia="Times New Roman" w:hAnsi="Arial" w:cs="Arial"/>
          <w:color w:val="222222"/>
          <w:sz w:val="15"/>
          <w:szCs w:val="15"/>
          <w:lang w:eastAsia="en-GB"/>
        </w:rPr>
        <w:t>international</w:t>
      </w:r>
      <w:proofErr w:type="spellEnd"/>
      <w:r w:rsidR="000B23B5">
        <w:rPr>
          <w:rFonts w:ascii="Arial" w:eastAsia="Times New Roman" w:hAnsi="Arial" w:cs="Arial"/>
          <w:color w:val="222222"/>
          <w:sz w:val="15"/>
          <w:szCs w:val="15"/>
          <w:lang w:eastAsia="en-GB"/>
        </w:rPr>
        <w:t xml:space="preserve"> migration </w:t>
      </w:r>
      <w:r>
        <w:rPr>
          <w:rFonts w:ascii="Arial" w:eastAsia="Times New Roman" w:hAnsi="Arial" w:cs="Arial"/>
          <w:color w:val="222222"/>
          <w:sz w:val="15"/>
          <w:szCs w:val="15"/>
          <w:lang w:eastAsia="en-GB"/>
        </w:rPr>
        <w:t xml:space="preserve">in England, Scotland, and Wales, </w:t>
      </w:r>
      <w:r w:rsidR="000B23B5">
        <w:rPr>
          <w:rFonts w:ascii="Arial" w:eastAsia="Times New Roman" w:hAnsi="Arial" w:cs="Arial"/>
          <w:color w:val="222222"/>
          <w:sz w:val="15"/>
          <w:szCs w:val="15"/>
          <w:lang w:eastAsia="en-GB"/>
        </w:rPr>
        <w:t xml:space="preserve">in </w:t>
      </w:r>
      <w:r>
        <w:rPr>
          <w:rFonts w:ascii="Arial" w:eastAsia="Times New Roman" w:hAnsi="Arial" w:cs="Arial"/>
          <w:color w:val="222222"/>
          <w:sz w:val="15"/>
          <w:szCs w:val="15"/>
          <w:lang w:eastAsia="en-GB"/>
        </w:rPr>
        <w:t>the context of internal migration, changes over time, population structure, and differences across the UK</w:t>
      </w:r>
      <w:r w:rsidR="000B23B5">
        <w:rPr>
          <w:rFonts w:ascii="Arial" w:eastAsia="Times New Roman" w:hAnsi="Arial" w:cs="Arial"/>
          <w:color w:val="222222"/>
          <w:sz w:val="15"/>
          <w:szCs w:val="15"/>
          <w:lang w:eastAsia="en-GB"/>
        </w:rPr>
        <w:t xml:space="preserve">. </w:t>
      </w:r>
    </w:p>
    <w:p w:rsidR="000B23B5" w:rsidRDefault="000B23B5" w:rsidP="000B23B5">
      <w:pPr>
        <w:shd w:val="clear" w:color="auto" w:fill="FFFFFF"/>
        <w:spacing w:after="0" w:line="240" w:lineRule="auto"/>
        <w:rPr>
          <w:rFonts w:ascii="Arial" w:eastAsia="Times New Roman" w:hAnsi="Arial" w:cs="Arial"/>
          <w:color w:val="222222"/>
          <w:sz w:val="15"/>
          <w:szCs w:val="15"/>
          <w:lang w:eastAsia="en-GB"/>
        </w:rPr>
      </w:pPr>
    </w:p>
    <w:p w:rsidR="009838E0" w:rsidRDefault="009838E0" w:rsidP="000B23B5">
      <w:pPr>
        <w:shd w:val="clear" w:color="auto" w:fill="FFFFFF"/>
        <w:spacing w:after="0" w:line="240" w:lineRule="auto"/>
        <w:rPr>
          <w:rFonts w:ascii="Arial" w:eastAsia="Times New Roman" w:hAnsi="Arial" w:cs="Arial"/>
          <w:b/>
          <w:color w:val="222222"/>
          <w:sz w:val="15"/>
          <w:szCs w:val="15"/>
          <w:lang w:eastAsia="en-GB"/>
        </w:rPr>
      </w:pPr>
      <w:r>
        <w:rPr>
          <w:rFonts w:ascii="Arial" w:eastAsia="Times New Roman" w:hAnsi="Arial" w:cs="Arial"/>
          <w:b/>
          <w:color w:val="222222"/>
          <w:sz w:val="15"/>
          <w:szCs w:val="15"/>
          <w:lang w:eastAsia="en-GB"/>
        </w:rPr>
        <w:t>Data Visualisation</w:t>
      </w:r>
    </w:p>
    <w:p w:rsidR="009838E0" w:rsidRDefault="009838E0" w:rsidP="000B23B5">
      <w:pPr>
        <w:shd w:val="clear" w:color="auto" w:fill="FFFFFF"/>
        <w:spacing w:after="0" w:line="240" w:lineRule="auto"/>
        <w:rPr>
          <w:rFonts w:ascii="Arial" w:eastAsia="Times New Roman" w:hAnsi="Arial" w:cs="Arial"/>
          <w:b/>
          <w:color w:val="222222"/>
          <w:sz w:val="15"/>
          <w:szCs w:val="15"/>
          <w:lang w:eastAsia="en-GB"/>
        </w:rPr>
      </w:pPr>
    </w:p>
    <w:p w:rsidR="00D30D44" w:rsidRDefault="009838E0"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 xml:space="preserve">A necessary but seldom sufficient definition of </w:t>
      </w:r>
      <w:r w:rsidR="00C42BE8">
        <w:rPr>
          <w:rFonts w:ascii="Arial" w:eastAsia="Times New Roman" w:hAnsi="Arial" w:cs="Arial"/>
          <w:color w:val="222222"/>
          <w:sz w:val="15"/>
          <w:szCs w:val="15"/>
          <w:lang w:eastAsia="en-GB"/>
        </w:rPr>
        <w:t xml:space="preserve">a </w:t>
      </w:r>
      <w:r>
        <w:rPr>
          <w:rFonts w:ascii="Arial" w:eastAsia="Times New Roman" w:hAnsi="Arial" w:cs="Arial"/>
          <w:color w:val="222222"/>
          <w:sz w:val="15"/>
          <w:szCs w:val="15"/>
          <w:lang w:eastAsia="en-GB"/>
        </w:rPr>
        <w:t xml:space="preserve">data visualisation is </w:t>
      </w:r>
      <w:r w:rsidR="00C42BE8">
        <w:rPr>
          <w:rFonts w:ascii="Arial" w:eastAsia="Times New Roman" w:hAnsi="Arial" w:cs="Arial"/>
          <w:color w:val="222222"/>
          <w:sz w:val="15"/>
          <w:szCs w:val="15"/>
          <w:lang w:eastAsia="en-GB"/>
        </w:rPr>
        <w:t>as a rule-based graphic, whose rules specify how a series of variables in a dataset should be mapped onto particular types of graphical features</w:t>
      </w:r>
      <w:r>
        <w:rPr>
          <w:rFonts w:ascii="Arial" w:eastAsia="Times New Roman" w:hAnsi="Arial" w:cs="Arial"/>
          <w:color w:val="222222"/>
          <w:sz w:val="15"/>
          <w:szCs w:val="15"/>
          <w:lang w:eastAsia="en-GB"/>
        </w:rPr>
        <w:t xml:space="preserve"> or </w:t>
      </w:r>
      <w:r w:rsidRPr="00C42BE8">
        <w:rPr>
          <w:rFonts w:ascii="Arial" w:eastAsia="Times New Roman" w:hAnsi="Arial" w:cs="Arial"/>
          <w:b/>
          <w:color w:val="222222"/>
          <w:sz w:val="15"/>
          <w:szCs w:val="15"/>
          <w:lang w:eastAsia="en-GB"/>
        </w:rPr>
        <w:t>aesthetics</w:t>
      </w:r>
      <w:r>
        <w:rPr>
          <w:rFonts w:ascii="Arial" w:eastAsia="Times New Roman" w:hAnsi="Arial" w:cs="Arial"/>
          <w:color w:val="222222"/>
          <w:sz w:val="15"/>
          <w:szCs w:val="15"/>
          <w:lang w:eastAsia="en-GB"/>
        </w:rPr>
        <w:t xml:space="preserve"> [Wilkinson 2005; Wickham 2010[2009]].  An example of a set of mapping rules could be</w:t>
      </w:r>
      <w:r w:rsidR="00C42BE8">
        <w:rPr>
          <w:rFonts w:ascii="Arial" w:eastAsia="Times New Roman" w:hAnsi="Arial" w:cs="Arial"/>
          <w:color w:val="222222"/>
          <w:sz w:val="15"/>
          <w:szCs w:val="15"/>
          <w:lang w:eastAsia="en-GB"/>
        </w:rPr>
        <w:t>: 1)</w:t>
      </w:r>
      <w:r>
        <w:rPr>
          <w:rFonts w:ascii="Arial" w:eastAsia="Times New Roman" w:hAnsi="Arial" w:cs="Arial"/>
          <w:color w:val="222222"/>
          <w:sz w:val="15"/>
          <w:szCs w:val="15"/>
          <w:lang w:eastAsia="en-GB"/>
        </w:rPr>
        <w:t xml:space="preserve"> ‘the horizontal position of a graphical object is determined by the variable </w:t>
      </w:r>
      <w:r>
        <w:rPr>
          <w:rFonts w:ascii="Arial" w:eastAsia="Times New Roman" w:hAnsi="Arial" w:cs="Arial"/>
          <w:i/>
          <w:color w:val="222222"/>
          <w:sz w:val="15"/>
          <w:szCs w:val="15"/>
          <w:lang w:eastAsia="en-GB"/>
        </w:rPr>
        <w:t>time</w:t>
      </w:r>
      <w:r>
        <w:rPr>
          <w:rFonts w:ascii="Arial" w:eastAsia="Times New Roman" w:hAnsi="Arial" w:cs="Arial"/>
          <w:color w:val="222222"/>
          <w:sz w:val="15"/>
          <w:szCs w:val="15"/>
          <w:lang w:eastAsia="en-GB"/>
        </w:rPr>
        <w:t xml:space="preserve"> (unit: </w:t>
      </w:r>
      <w:r w:rsidR="00C42BE8">
        <w:rPr>
          <w:rFonts w:ascii="Arial" w:eastAsia="Times New Roman" w:hAnsi="Arial" w:cs="Arial"/>
          <w:color w:val="222222"/>
          <w:sz w:val="15"/>
          <w:szCs w:val="15"/>
          <w:lang w:eastAsia="en-GB"/>
        </w:rPr>
        <w:t>time of day</w:t>
      </w:r>
      <w:r>
        <w:rPr>
          <w:rFonts w:ascii="Arial" w:eastAsia="Times New Roman" w:hAnsi="Arial" w:cs="Arial"/>
          <w:color w:val="222222"/>
          <w:sz w:val="15"/>
          <w:szCs w:val="15"/>
          <w:lang w:eastAsia="en-GB"/>
        </w:rPr>
        <w:t xml:space="preserve">)’; </w:t>
      </w:r>
      <w:r w:rsidR="00C42BE8">
        <w:rPr>
          <w:rFonts w:ascii="Arial" w:eastAsia="Times New Roman" w:hAnsi="Arial" w:cs="Arial"/>
          <w:color w:val="222222"/>
          <w:sz w:val="15"/>
          <w:szCs w:val="15"/>
          <w:lang w:eastAsia="en-GB"/>
        </w:rPr>
        <w:t xml:space="preserve">2) </w:t>
      </w:r>
      <w:r>
        <w:rPr>
          <w:rFonts w:ascii="Arial" w:eastAsia="Times New Roman" w:hAnsi="Arial" w:cs="Arial"/>
          <w:color w:val="222222"/>
          <w:sz w:val="15"/>
          <w:szCs w:val="15"/>
          <w:lang w:eastAsia="en-GB"/>
        </w:rPr>
        <w:t xml:space="preserve">‘the vertical position of this graphical object is determined by the variable </w:t>
      </w:r>
      <w:r>
        <w:rPr>
          <w:rFonts w:ascii="Arial" w:eastAsia="Times New Roman" w:hAnsi="Arial" w:cs="Arial"/>
          <w:i/>
          <w:color w:val="222222"/>
          <w:sz w:val="15"/>
          <w:szCs w:val="15"/>
          <w:lang w:eastAsia="en-GB"/>
        </w:rPr>
        <w:t xml:space="preserve">value </w:t>
      </w:r>
      <w:r w:rsidR="00C42BE8">
        <w:rPr>
          <w:rFonts w:ascii="Arial" w:eastAsia="Times New Roman" w:hAnsi="Arial" w:cs="Arial"/>
          <w:color w:val="222222"/>
          <w:sz w:val="15"/>
          <w:szCs w:val="15"/>
          <w:lang w:eastAsia="en-GB"/>
        </w:rPr>
        <w:t>(unit: US dollars)’. By additionally specifying that the graphical object (‘</w:t>
      </w:r>
      <w:proofErr w:type="spellStart"/>
      <w:r w:rsidR="00C42BE8" w:rsidRPr="00C42BE8">
        <w:rPr>
          <w:rFonts w:ascii="Arial" w:eastAsia="Times New Roman" w:hAnsi="Arial" w:cs="Arial"/>
          <w:b/>
          <w:color w:val="222222"/>
          <w:sz w:val="15"/>
          <w:szCs w:val="15"/>
          <w:lang w:eastAsia="en-GB"/>
        </w:rPr>
        <w:t>geom</w:t>
      </w:r>
      <w:proofErr w:type="spellEnd"/>
      <w:r w:rsidR="00C42BE8" w:rsidRPr="00C42BE8">
        <w:rPr>
          <w:rFonts w:ascii="Arial" w:eastAsia="Times New Roman" w:hAnsi="Arial" w:cs="Arial"/>
          <w:b/>
          <w:color w:val="222222"/>
          <w:sz w:val="15"/>
          <w:szCs w:val="15"/>
          <w:lang w:eastAsia="en-GB"/>
        </w:rPr>
        <w:t>’</w:t>
      </w:r>
      <w:r w:rsidR="00C42BE8">
        <w:rPr>
          <w:rFonts w:ascii="Arial" w:eastAsia="Times New Roman" w:hAnsi="Arial" w:cs="Arial"/>
          <w:color w:val="222222"/>
          <w:sz w:val="15"/>
          <w:szCs w:val="15"/>
          <w:lang w:eastAsia="en-GB"/>
        </w:rPr>
        <w:t xml:space="preserve">) whose vertices are determined by the above rules is a </w:t>
      </w:r>
      <w:r w:rsidR="00C42BE8" w:rsidRPr="00C42BE8">
        <w:rPr>
          <w:rFonts w:ascii="Arial" w:eastAsia="Times New Roman" w:hAnsi="Arial" w:cs="Arial"/>
          <w:i/>
          <w:color w:val="222222"/>
          <w:sz w:val="15"/>
          <w:szCs w:val="15"/>
          <w:lang w:eastAsia="en-GB"/>
        </w:rPr>
        <w:t>line</w:t>
      </w:r>
      <w:r w:rsidR="00C42BE8">
        <w:rPr>
          <w:rFonts w:ascii="Arial" w:eastAsia="Times New Roman" w:hAnsi="Arial" w:cs="Arial"/>
          <w:i/>
          <w:color w:val="222222"/>
          <w:sz w:val="15"/>
          <w:szCs w:val="15"/>
          <w:lang w:eastAsia="en-GB"/>
        </w:rPr>
        <w:t xml:space="preserve"> </w:t>
      </w:r>
      <w:r w:rsidR="00C42BE8" w:rsidRPr="00C42BE8">
        <w:rPr>
          <w:rFonts w:ascii="Arial" w:eastAsia="Times New Roman" w:hAnsi="Arial" w:cs="Arial"/>
          <w:color w:val="222222"/>
          <w:sz w:val="15"/>
          <w:szCs w:val="15"/>
          <w:lang w:eastAsia="en-GB"/>
        </w:rPr>
        <w:t xml:space="preserve">(or more precisely a </w:t>
      </w:r>
      <w:proofErr w:type="spellStart"/>
      <w:r w:rsidR="00C42BE8" w:rsidRPr="00C42BE8">
        <w:rPr>
          <w:rFonts w:ascii="Arial" w:eastAsia="Times New Roman" w:hAnsi="Arial" w:cs="Arial"/>
          <w:color w:val="222222"/>
          <w:sz w:val="15"/>
          <w:szCs w:val="15"/>
          <w:lang w:eastAsia="en-GB"/>
        </w:rPr>
        <w:t>polyline</w:t>
      </w:r>
      <w:proofErr w:type="spellEnd"/>
      <w:r w:rsidR="00F54C27">
        <w:rPr>
          <w:rFonts w:ascii="Arial" w:eastAsia="Times New Roman" w:hAnsi="Arial" w:cs="Arial"/>
          <w:color w:val="222222"/>
          <w:sz w:val="15"/>
          <w:szCs w:val="15"/>
          <w:lang w:eastAsia="en-GB"/>
        </w:rPr>
        <w:t>, if it contains more than two points</w:t>
      </w:r>
      <w:r w:rsidR="00C42BE8" w:rsidRPr="00C42BE8">
        <w:rPr>
          <w:rFonts w:ascii="Arial" w:eastAsia="Times New Roman" w:hAnsi="Arial" w:cs="Arial"/>
          <w:color w:val="222222"/>
          <w:sz w:val="15"/>
          <w:szCs w:val="15"/>
          <w:lang w:eastAsia="en-GB"/>
        </w:rPr>
        <w:t>)</w:t>
      </w:r>
      <w:r w:rsidR="00C42BE8">
        <w:rPr>
          <w:rFonts w:ascii="Arial" w:eastAsia="Times New Roman" w:hAnsi="Arial" w:cs="Arial"/>
          <w:color w:val="222222"/>
          <w:sz w:val="15"/>
          <w:szCs w:val="15"/>
          <w:lang w:eastAsia="en-GB"/>
        </w:rPr>
        <w:t xml:space="preserve">, and that the order in which the vertices of the </w:t>
      </w:r>
      <w:proofErr w:type="spellStart"/>
      <w:r w:rsidR="00C42BE8">
        <w:rPr>
          <w:rFonts w:ascii="Arial" w:eastAsia="Times New Roman" w:hAnsi="Arial" w:cs="Arial"/>
          <w:color w:val="222222"/>
          <w:sz w:val="15"/>
          <w:szCs w:val="15"/>
          <w:lang w:eastAsia="en-GB"/>
        </w:rPr>
        <w:t>polyline</w:t>
      </w:r>
      <w:proofErr w:type="spellEnd"/>
      <w:r w:rsidR="00C42BE8">
        <w:rPr>
          <w:rFonts w:ascii="Arial" w:eastAsia="Times New Roman" w:hAnsi="Arial" w:cs="Arial"/>
          <w:color w:val="222222"/>
          <w:sz w:val="15"/>
          <w:szCs w:val="15"/>
          <w:lang w:eastAsia="en-GB"/>
        </w:rPr>
        <w:t xml:space="preserve"> are joined is in ascending or descending order of the </w:t>
      </w:r>
      <w:r w:rsidR="00C42BE8">
        <w:rPr>
          <w:rFonts w:ascii="Arial" w:eastAsia="Times New Roman" w:hAnsi="Arial" w:cs="Arial"/>
          <w:i/>
          <w:color w:val="222222"/>
          <w:sz w:val="15"/>
          <w:szCs w:val="15"/>
          <w:lang w:eastAsia="en-GB"/>
        </w:rPr>
        <w:t>time</w:t>
      </w:r>
      <w:r w:rsidR="00C42BE8">
        <w:rPr>
          <w:rFonts w:ascii="Arial" w:eastAsia="Times New Roman" w:hAnsi="Arial" w:cs="Arial"/>
          <w:color w:val="222222"/>
          <w:sz w:val="15"/>
          <w:szCs w:val="15"/>
          <w:lang w:eastAsia="en-GB"/>
        </w:rPr>
        <w:t xml:space="preserve"> variable, the result of the above specification is a simple time series graph</w:t>
      </w:r>
      <w:r w:rsidR="00312489">
        <w:rPr>
          <w:rFonts w:ascii="Arial" w:eastAsia="Times New Roman" w:hAnsi="Arial" w:cs="Arial"/>
          <w:color w:val="222222"/>
          <w:sz w:val="15"/>
          <w:szCs w:val="15"/>
          <w:lang w:eastAsia="en-GB"/>
        </w:rPr>
        <w:t>,</w:t>
      </w:r>
      <w:r w:rsidR="00C42BE8">
        <w:rPr>
          <w:rFonts w:ascii="Arial" w:eastAsia="Times New Roman" w:hAnsi="Arial" w:cs="Arial"/>
          <w:color w:val="222222"/>
          <w:sz w:val="15"/>
          <w:szCs w:val="15"/>
          <w:lang w:eastAsia="en-GB"/>
        </w:rPr>
        <w:t xml:space="preserve"> of the type typically used to show the variation of a share price over the course of a day of trading. </w:t>
      </w:r>
    </w:p>
    <w:p w:rsidR="00D30D44" w:rsidRDefault="00D30D44" w:rsidP="000B23B5">
      <w:pPr>
        <w:shd w:val="clear" w:color="auto" w:fill="FFFFFF"/>
        <w:spacing w:after="0" w:line="240" w:lineRule="auto"/>
        <w:rPr>
          <w:rFonts w:ascii="Arial" w:eastAsia="Times New Roman" w:hAnsi="Arial" w:cs="Arial"/>
          <w:color w:val="222222"/>
          <w:sz w:val="15"/>
          <w:szCs w:val="15"/>
          <w:lang w:eastAsia="en-GB"/>
        </w:rPr>
      </w:pPr>
    </w:p>
    <w:p w:rsidR="009838E0" w:rsidRPr="009838E0" w:rsidRDefault="00C42BE8"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 xml:space="preserve">This minimal specification </w:t>
      </w:r>
      <w:r w:rsidR="008316F6">
        <w:rPr>
          <w:rFonts w:ascii="Arial" w:eastAsia="Times New Roman" w:hAnsi="Arial" w:cs="Arial"/>
          <w:color w:val="222222"/>
          <w:sz w:val="15"/>
          <w:szCs w:val="15"/>
          <w:lang w:eastAsia="en-GB"/>
        </w:rPr>
        <w:t xml:space="preserve">above defines what can be thought of as the ‘data layer’ of a data visualisation. But, for a data visualisation to be effective at communicating to the audience, additional layers are usually required. We can refer to these additional layers by the role they fulfil: </w:t>
      </w:r>
      <w:r w:rsidR="00F54C27">
        <w:rPr>
          <w:rFonts w:ascii="Arial" w:eastAsia="Times New Roman" w:hAnsi="Arial" w:cs="Arial"/>
          <w:color w:val="222222"/>
          <w:sz w:val="15"/>
          <w:szCs w:val="15"/>
          <w:lang w:eastAsia="en-GB"/>
        </w:rPr>
        <w:t xml:space="preserve">we can </w:t>
      </w:r>
      <w:r w:rsidR="008316F6">
        <w:rPr>
          <w:rFonts w:ascii="Arial" w:eastAsia="Times New Roman" w:hAnsi="Arial" w:cs="Arial"/>
          <w:color w:val="222222"/>
          <w:sz w:val="15"/>
          <w:szCs w:val="15"/>
          <w:lang w:eastAsia="en-GB"/>
        </w:rPr>
        <w:t>defining graphics such as axis labels, tick marks, and gridlines</w:t>
      </w:r>
      <w:r w:rsidR="00F54C27">
        <w:rPr>
          <w:rFonts w:ascii="Arial" w:eastAsia="Times New Roman" w:hAnsi="Arial" w:cs="Arial"/>
          <w:color w:val="222222"/>
          <w:sz w:val="15"/>
          <w:szCs w:val="15"/>
          <w:lang w:eastAsia="en-GB"/>
        </w:rPr>
        <w:t>,</w:t>
      </w:r>
      <w:r w:rsidR="008316F6">
        <w:rPr>
          <w:rFonts w:ascii="Arial" w:eastAsia="Times New Roman" w:hAnsi="Arial" w:cs="Arial"/>
          <w:color w:val="222222"/>
          <w:sz w:val="15"/>
          <w:szCs w:val="15"/>
          <w:lang w:eastAsia="en-GB"/>
        </w:rPr>
        <w:t xml:space="preserve"> as being part of a ‘support layer’</w:t>
      </w:r>
      <w:r w:rsidR="00F54C27">
        <w:rPr>
          <w:rFonts w:ascii="Arial" w:eastAsia="Times New Roman" w:hAnsi="Arial" w:cs="Arial"/>
          <w:color w:val="222222"/>
          <w:sz w:val="15"/>
          <w:szCs w:val="15"/>
          <w:lang w:eastAsia="en-GB"/>
        </w:rPr>
        <w:t>, which allow the audience to infer the values in the data from the rule-bound features of the data layer, allowing the audience to ‘decode’ the data layer</w:t>
      </w:r>
      <w:r w:rsidR="008316F6">
        <w:rPr>
          <w:rFonts w:ascii="Arial" w:eastAsia="Times New Roman" w:hAnsi="Arial" w:cs="Arial"/>
          <w:color w:val="222222"/>
          <w:sz w:val="15"/>
          <w:szCs w:val="15"/>
          <w:lang w:eastAsia="en-GB"/>
        </w:rPr>
        <w:t xml:space="preserve">. Additionally, we can think about adding an ‘annotation layer’, containing </w:t>
      </w:r>
      <w:r w:rsidR="00F54C27">
        <w:rPr>
          <w:rFonts w:ascii="Arial" w:eastAsia="Times New Roman" w:hAnsi="Arial" w:cs="Arial"/>
          <w:color w:val="222222"/>
          <w:sz w:val="15"/>
          <w:szCs w:val="15"/>
          <w:lang w:eastAsia="en-GB"/>
        </w:rPr>
        <w:t xml:space="preserve">a range of non rule-bound graphical features which the creator of the data visualisation thinks will help the audience to identify important information. An example of an annotation layer may be to add a label nearby particular points, for example to help the audience identify outliers in the data. The choice of what, if anything, to include in the support layer and data layer, in addition to the mapping rules and design aesthetics in the data layer, </w:t>
      </w:r>
      <w:r w:rsidR="00D30D44">
        <w:rPr>
          <w:rFonts w:ascii="Arial" w:eastAsia="Times New Roman" w:hAnsi="Arial" w:cs="Arial"/>
          <w:color w:val="222222"/>
          <w:sz w:val="15"/>
          <w:szCs w:val="15"/>
          <w:lang w:eastAsia="en-GB"/>
        </w:rPr>
        <w:t xml:space="preserve">is the fundamental challenge of producing effective data visualisations. </w:t>
      </w:r>
      <w:r w:rsidR="009838E0">
        <w:rPr>
          <w:rFonts w:ascii="Arial" w:eastAsia="Times New Roman" w:hAnsi="Arial" w:cs="Arial"/>
          <w:color w:val="222222"/>
          <w:sz w:val="15"/>
          <w:szCs w:val="15"/>
          <w:lang w:eastAsia="en-GB"/>
        </w:rPr>
        <w:t xml:space="preserve"> </w:t>
      </w:r>
    </w:p>
    <w:p w:rsidR="009838E0" w:rsidRDefault="009838E0" w:rsidP="000B23B5">
      <w:pPr>
        <w:shd w:val="clear" w:color="auto" w:fill="FFFFFF"/>
        <w:spacing w:after="0" w:line="240" w:lineRule="auto"/>
        <w:rPr>
          <w:rFonts w:ascii="Arial" w:eastAsia="Times New Roman" w:hAnsi="Arial" w:cs="Arial"/>
          <w:b/>
          <w:color w:val="222222"/>
          <w:sz w:val="15"/>
          <w:szCs w:val="15"/>
          <w:lang w:eastAsia="en-GB"/>
        </w:rPr>
      </w:pPr>
    </w:p>
    <w:p w:rsidR="000B23B5" w:rsidRPr="000B23B5" w:rsidRDefault="000B23B5" w:rsidP="000B23B5">
      <w:pPr>
        <w:shd w:val="clear" w:color="auto" w:fill="FFFFFF"/>
        <w:spacing w:after="0" w:line="240" w:lineRule="auto"/>
        <w:rPr>
          <w:rFonts w:ascii="Arial" w:eastAsia="Times New Roman" w:hAnsi="Arial" w:cs="Arial"/>
          <w:b/>
          <w:color w:val="222222"/>
          <w:sz w:val="15"/>
          <w:szCs w:val="15"/>
          <w:lang w:eastAsia="en-GB"/>
        </w:rPr>
      </w:pPr>
      <w:r w:rsidRPr="000B23B5">
        <w:rPr>
          <w:rFonts w:ascii="Arial" w:eastAsia="Times New Roman" w:hAnsi="Arial" w:cs="Arial"/>
          <w:b/>
          <w:color w:val="222222"/>
          <w:sz w:val="15"/>
          <w:szCs w:val="15"/>
          <w:lang w:eastAsia="en-GB"/>
        </w:rPr>
        <w:t xml:space="preserve">Data </w:t>
      </w:r>
    </w:p>
    <w:p w:rsidR="00C8438E" w:rsidRDefault="00C8438E" w:rsidP="000B23B5">
      <w:pPr>
        <w:shd w:val="clear" w:color="auto" w:fill="FFFFFF"/>
        <w:spacing w:after="0" w:line="240" w:lineRule="auto"/>
        <w:rPr>
          <w:rFonts w:ascii="Arial" w:eastAsia="Times New Roman" w:hAnsi="Arial" w:cs="Arial"/>
          <w:color w:val="222222"/>
          <w:sz w:val="15"/>
          <w:szCs w:val="15"/>
          <w:lang w:eastAsia="en-GB"/>
        </w:rPr>
      </w:pPr>
    </w:p>
    <w:p w:rsidR="00C8438E" w:rsidRDefault="00445DEE"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Mid-year e</w:t>
      </w:r>
      <w:r w:rsidR="000B23B5">
        <w:rPr>
          <w:rFonts w:ascii="Arial" w:eastAsia="Times New Roman" w:hAnsi="Arial" w:cs="Arial"/>
          <w:color w:val="222222"/>
          <w:sz w:val="15"/>
          <w:szCs w:val="15"/>
          <w:lang w:eastAsia="en-GB"/>
        </w:rPr>
        <w:t xml:space="preserve">stimates of population sizes are produced by the UK Office for National Statistics in order to construct Small Area Population </w:t>
      </w:r>
    </w:p>
    <w:p w:rsidR="00C8438E" w:rsidRDefault="000B23B5"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Estimates (SAPE)</w:t>
      </w:r>
      <w:r w:rsidR="00445DEE">
        <w:rPr>
          <w:rFonts w:ascii="Arial" w:eastAsia="Times New Roman" w:hAnsi="Arial" w:cs="Arial"/>
          <w:color w:val="222222"/>
          <w:sz w:val="15"/>
          <w:szCs w:val="15"/>
          <w:lang w:eastAsia="en-GB"/>
        </w:rPr>
        <w:t xml:space="preserve"> for each local authority within England and Wales</w:t>
      </w:r>
      <w:r>
        <w:rPr>
          <w:rFonts w:ascii="Arial" w:eastAsia="Times New Roman" w:hAnsi="Arial" w:cs="Arial"/>
          <w:color w:val="222222"/>
          <w:sz w:val="15"/>
          <w:szCs w:val="15"/>
          <w:lang w:eastAsia="en-GB"/>
        </w:rPr>
        <w:t>. These estimates, contained within table MYEB2 of</w:t>
      </w:r>
      <w:r w:rsidR="002722FC">
        <w:rPr>
          <w:rFonts w:ascii="Arial" w:eastAsia="Times New Roman" w:hAnsi="Arial" w:cs="Arial"/>
          <w:color w:val="222222"/>
          <w:sz w:val="15"/>
          <w:szCs w:val="15"/>
          <w:lang w:eastAsia="en-GB"/>
        </w:rPr>
        <w:t xml:space="preserve"> the Components of Change </w:t>
      </w:r>
      <w:r>
        <w:rPr>
          <w:rFonts w:ascii="Arial" w:eastAsia="Times New Roman" w:hAnsi="Arial" w:cs="Arial"/>
          <w:color w:val="222222"/>
          <w:sz w:val="15"/>
          <w:szCs w:val="15"/>
          <w:lang w:eastAsia="en-GB"/>
        </w:rPr>
        <w:t>data</w:t>
      </w:r>
      <w:r w:rsidR="002722FC">
        <w:rPr>
          <w:rFonts w:ascii="Arial" w:eastAsia="Times New Roman" w:hAnsi="Arial" w:cs="Arial"/>
          <w:color w:val="222222"/>
          <w:sz w:val="15"/>
          <w:szCs w:val="15"/>
          <w:lang w:eastAsia="en-GB"/>
        </w:rPr>
        <w:t>,</w:t>
      </w:r>
      <w:r w:rsidR="00445DEE">
        <w:rPr>
          <w:rFonts w:ascii="Arial" w:eastAsia="Times New Roman" w:hAnsi="Arial" w:cs="Arial"/>
          <w:color w:val="222222"/>
          <w:sz w:val="15"/>
          <w:szCs w:val="15"/>
          <w:lang w:eastAsia="en-GB"/>
        </w:rPr>
        <w:t xml:space="preserve"> are used </w:t>
      </w:r>
      <w:r>
        <w:rPr>
          <w:rFonts w:ascii="Arial" w:eastAsia="Times New Roman" w:hAnsi="Arial" w:cs="Arial"/>
          <w:color w:val="222222"/>
          <w:sz w:val="15"/>
          <w:szCs w:val="15"/>
          <w:lang w:eastAsia="en-GB"/>
        </w:rPr>
        <w:t xml:space="preserve">to construct SAPE, </w:t>
      </w:r>
      <w:r w:rsidR="00445DEE">
        <w:rPr>
          <w:rFonts w:ascii="Arial" w:eastAsia="Times New Roman" w:hAnsi="Arial" w:cs="Arial"/>
          <w:color w:val="222222"/>
          <w:sz w:val="15"/>
          <w:szCs w:val="15"/>
          <w:lang w:eastAsia="en-GB"/>
        </w:rPr>
        <w:t xml:space="preserve">and </w:t>
      </w:r>
      <w:r>
        <w:rPr>
          <w:rFonts w:ascii="Arial" w:eastAsia="Times New Roman" w:hAnsi="Arial" w:cs="Arial"/>
          <w:color w:val="222222"/>
          <w:sz w:val="15"/>
          <w:szCs w:val="15"/>
          <w:lang w:eastAsia="en-GB"/>
        </w:rPr>
        <w:t xml:space="preserve">include estimates of population sizes, and internal and international in-migrations and out-migrations, for each year from 2002 to 2013, and for each single </w:t>
      </w:r>
      <w:r w:rsidR="00445DEE">
        <w:rPr>
          <w:rFonts w:ascii="Arial" w:eastAsia="Times New Roman" w:hAnsi="Arial" w:cs="Arial"/>
          <w:color w:val="222222"/>
          <w:sz w:val="15"/>
          <w:szCs w:val="15"/>
          <w:lang w:eastAsia="en-GB"/>
        </w:rPr>
        <w:t>year of age, fro</w:t>
      </w:r>
      <w:r w:rsidR="002722FC">
        <w:rPr>
          <w:rFonts w:ascii="Arial" w:eastAsia="Times New Roman" w:hAnsi="Arial" w:cs="Arial"/>
          <w:color w:val="222222"/>
          <w:sz w:val="15"/>
          <w:szCs w:val="15"/>
          <w:lang w:eastAsia="en-GB"/>
        </w:rPr>
        <w:t>m birth to 89 years old, with</w:t>
      </w:r>
      <w:r w:rsidR="00445DEE">
        <w:rPr>
          <w:rFonts w:ascii="Arial" w:eastAsia="Times New Roman" w:hAnsi="Arial" w:cs="Arial"/>
          <w:color w:val="222222"/>
          <w:sz w:val="15"/>
          <w:szCs w:val="15"/>
          <w:lang w:eastAsia="en-GB"/>
        </w:rPr>
        <w:t xml:space="preserve"> aggregated counts for ages 90 years and above. Internal migration is defined as any movement originating from and terminating at any local authority in the UK; international migrations are those which originate or terminate outside of the UK over the same period. </w:t>
      </w:r>
      <w:r w:rsidR="00D30D44">
        <w:rPr>
          <w:rFonts w:ascii="Arial" w:eastAsia="Times New Roman" w:hAnsi="Arial" w:cs="Arial"/>
          <w:color w:val="222222"/>
          <w:sz w:val="15"/>
          <w:szCs w:val="15"/>
          <w:lang w:eastAsia="en-GB"/>
        </w:rPr>
        <w:t xml:space="preserve">Equivalent data for Scotland was made available by the National Records of Scotland. </w:t>
      </w:r>
    </w:p>
    <w:p w:rsidR="00C8438E" w:rsidRDefault="00C8438E" w:rsidP="000B23B5">
      <w:pPr>
        <w:shd w:val="clear" w:color="auto" w:fill="FFFFFF"/>
        <w:spacing w:after="0" w:line="240" w:lineRule="auto"/>
        <w:rPr>
          <w:rFonts w:ascii="Arial" w:eastAsia="Times New Roman" w:hAnsi="Arial" w:cs="Arial"/>
          <w:color w:val="222222"/>
          <w:sz w:val="15"/>
          <w:szCs w:val="15"/>
          <w:lang w:eastAsia="en-GB"/>
        </w:rPr>
      </w:pPr>
    </w:p>
    <w:p w:rsidR="00C8438E" w:rsidRPr="000B23B5" w:rsidRDefault="00C8438E" w:rsidP="00C8438E">
      <w:pPr>
        <w:shd w:val="clear" w:color="auto" w:fill="FFFFFF"/>
        <w:spacing w:after="0" w:line="240" w:lineRule="auto"/>
        <w:rPr>
          <w:rFonts w:ascii="Arial" w:eastAsia="Times New Roman" w:hAnsi="Arial" w:cs="Arial"/>
          <w:b/>
          <w:color w:val="222222"/>
          <w:sz w:val="15"/>
          <w:szCs w:val="15"/>
          <w:lang w:eastAsia="en-GB"/>
        </w:rPr>
      </w:pPr>
      <w:r>
        <w:rPr>
          <w:rFonts w:ascii="Arial" w:eastAsia="Times New Roman" w:hAnsi="Arial" w:cs="Arial"/>
          <w:b/>
          <w:color w:val="222222"/>
          <w:sz w:val="15"/>
          <w:szCs w:val="15"/>
          <w:lang w:eastAsia="en-GB"/>
        </w:rPr>
        <w:t>Figures and Colour Scheme</w:t>
      </w:r>
    </w:p>
    <w:p w:rsidR="00C8438E" w:rsidRDefault="00C8438E" w:rsidP="000B23B5">
      <w:pPr>
        <w:shd w:val="clear" w:color="auto" w:fill="FFFFFF"/>
        <w:spacing w:after="0" w:line="240" w:lineRule="auto"/>
        <w:rPr>
          <w:rFonts w:ascii="Arial" w:eastAsia="Times New Roman" w:hAnsi="Arial" w:cs="Arial"/>
          <w:color w:val="222222"/>
          <w:sz w:val="15"/>
          <w:szCs w:val="15"/>
          <w:lang w:eastAsia="en-GB"/>
        </w:rPr>
      </w:pPr>
    </w:p>
    <w:p w:rsidR="00C8438E" w:rsidRDefault="00C8438E"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The population structure and migrant flows are shown for each year from 2002 to 2013,</w:t>
      </w:r>
      <w:r w:rsidR="00D30D44">
        <w:rPr>
          <w:rFonts w:ascii="Arial" w:eastAsia="Times New Roman" w:hAnsi="Arial" w:cs="Arial"/>
          <w:color w:val="222222"/>
          <w:sz w:val="15"/>
          <w:szCs w:val="15"/>
          <w:lang w:eastAsia="en-GB"/>
        </w:rPr>
        <w:t xml:space="preserve"> and for each English region, as well as Wales and Scotland</w:t>
      </w:r>
      <w:r w:rsidR="002722FC">
        <w:rPr>
          <w:rFonts w:ascii="Arial" w:eastAsia="Times New Roman" w:hAnsi="Arial" w:cs="Arial"/>
          <w:color w:val="222222"/>
          <w:sz w:val="15"/>
          <w:szCs w:val="15"/>
          <w:lang w:eastAsia="en-GB"/>
        </w:rPr>
        <w:t>. The figures are arranged as ‘</w:t>
      </w:r>
      <w:r>
        <w:rPr>
          <w:rFonts w:ascii="Arial" w:eastAsia="Times New Roman" w:hAnsi="Arial" w:cs="Arial"/>
          <w:color w:val="222222"/>
          <w:sz w:val="15"/>
          <w:szCs w:val="15"/>
          <w:lang w:eastAsia="en-GB"/>
        </w:rPr>
        <w:t>small multiples</w:t>
      </w:r>
      <w:r w:rsidR="002722FC">
        <w:rPr>
          <w:rFonts w:ascii="Arial" w:eastAsia="Times New Roman" w:hAnsi="Arial" w:cs="Arial"/>
          <w:color w:val="222222"/>
          <w:sz w:val="15"/>
          <w:szCs w:val="15"/>
          <w:lang w:eastAsia="en-GB"/>
        </w:rPr>
        <w:t>’</w:t>
      </w:r>
      <w:r>
        <w:rPr>
          <w:rFonts w:ascii="Arial" w:eastAsia="Times New Roman" w:hAnsi="Arial" w:cs="Arial"/>
          <w:color w:val="222222"/>
          <w:sz w:val="15"/>
          <w:szCs w:val="15"/>
          <w:lang w:eastAsia="en-GB"/>
        </w:rPr>
        <w:t xml:space="preserve"> (</w:t>
      </w:r>
      <w:proofErr w:type="spellStart"/>
      <w:r>
        <w:rPr>
          <w:rFonts w:ascii="Arial" w:eastAsia="Times New Roman" w:hAnsi="Arial" w:cs="Arial"/>
          <w:color w:val="222222"/>
          <w:sz w:val="15"/>
          <w:szCs w:val="15"/>
          <w:lang w:eastAsia="en-GB"/>
        </w:rPr>
        <w:t>Tufte</w:t>
      </w:r>
      <w:proofErr w:type="spellEnd"/>
      <w:r w:rsidR="002722FC">
        <w:rPr>
          <w:rFonts w:ascii="Arial" w:eastAsia="Times New Roman" w:hAnsi="Arial" w:cs="Arial"/>
          <w:color w:val="222222"/>
          <w:sz w:val="15"/>
          <w:szCs w:val="15"/>
          <w:lang w:eastAsia="en-GB"/>
        </w:rPr>
        <w:t xml:space="preserve"> 2001 [1983]), also known as</w:t>
      </w:r>
      <w:r>
        <w:rPr>
          <w:rFonts w:ascii="Arial" w:eastAsia="Times New Roman" w:hAnsi="Arial" w:cs="Arial"/>
          <w:color w:val="222222"/>
          <w:sz w:val="15"/>
          <w:szCs w:val="15"/>
          <w:lang w:eastAsia="en-GB"/>
        </w:rPr>
        <w:t xml:space="preserve"> </w:t>
      </w:r>
      <w:r w:rsidR="002722FC">
        <w:rPr>
          <w:rFonts w:ascii="Arial" w:eastAsia="Times New Roman" w:hAnsi="Arial" w:cs="Arial"/>
          <w:color w:val="222222"/>
          <w:sz w:val="15"/>
          <w:szCs w:val="15"/>
          <w:lang w:eastAsia="en-GB"/>
        </w:rPr>
        <w:t>‘</w:t>
      </w:r>
      <w:r>
        <w:rPr>
          <w:rFonts w:ascii="Arial" w:eastAsia="Times New Roman" w:hAnsi="Arial" w:cs="Arial"/>
          <w:color w:val="222222"/>
          <w:sz w:val="15"/>
          <w:szCs w:val="15"/>
          <w:lang w:eastAsia="en-GB"/>
        </w:rPr>
        <w:t>trellis plots</w:t>
      </w:r>
      <w:r w:rsidR="002722FC">
        <w:rPr>
          <w:rFonts w:ascii="Arial" w:eastAsia="Times New Roman" w:hAnsi="Arial" w:cs="Arial"/>
          <w:color w:val="222222"/>
          <w:sz w:val="15"/>
          <w:szCs w:val="15"/>
          <w:lang w:eastAsia="en-GB"/>
        </w:rPr>
        <w:t>’</w:t>
      </w:r>
      <w:r>
        <w:rPr>
          <w:rFonts w:ascii="Arial" w:eastAsia="Times New Roman" w:hAnsi="Arial" w:cs="Arial"/>
          <w:color w:val="222222"/>
          <w:sz w:val="15"/>
          <w:szCs w:val="15"/>
          <w:lang w:eastAsia="en-GB"/>
        </w:rPr>
        <w:t xml:space="preserve"> (Cleveland</w:t>
      </w:r>
      <w:r w:rsidR="002722FC">
        <w:rPr>
          <w:rFonts w:ascii="Arial" w:eastAsia="Times New Roman" w:hAnsi="Arial" w:cs="Arial"/>
          <w:color w:val="222222"/>
          <w:sz w:val="15"/>
          <w:szCs w:val="15"/>
          <w:lang w:eastAsia="en-GB"/>
        </w:rPr>
        <w:t xml:space="preserve"> 1993</w:t>
      </w:r>
      <w:r>
        <w:rPr>
          <w:rFonts w:ascii="Arial" w:eastAsia="Times New Roman" w:hAnsi="Arial" w:cs="Arial"/>
          <w:color w:val="222222"/>
          <w:sz w:val="15"/>
          <w:szCs w:val="15"/>
          <w:lang w:eastAsia="en-GB"/>
        </w:rPr>
        <w:t>). The vertical axis is population count and the horizontal axis is age in single years.</w:t>
      </w:r>
      <w:r w:rsidR="002722FC">
        <w:rPr>
          <w:rFonts w:ascii="Arial" w:eastAsia="Times New Roman" w:hAnsi="Arial" w:cs="Arial"/>
          <w:color w:val="222222"/>
          <w:sz w:val="15"/>
          <w:szCs w:val="15"/>
          <w:lang w:eastAsia="en-GB"/>
        </w:rPr>
        <w:t xml:space="preserve"> </w:t>
      </w:r>
      <w:r>
        <w:rPr>
          <w:rFonts w:ascii="Arial" w:eastAsia="Times New Roman" w:hAnsi="Arial" w:cs="Arial"/>
          <w:color w:val="222222"/>
          <w:sz w:val="15"/>
          <w:szCs w:val="15"/>
          <w:lang w:eastAsia="en-GB"/>
        </w:rPr>
        <w:t xml:space="preserve">The overall population structure is represented as a grey polygon </w:t>
      </w:r>
      <w:r w:rsidR="002722FC">
        <w:rPr>
          <w:rFonts w:ascii="Arial" w:eastAsia="Times New Roman" w:hAnsi="Arial" w:cs="Arial"/>
          <w:color w:val="222222"/>
          <w:sz w:val="15"/>
          <w:szCs w:val="15"/>
          <w:lang w:eastAsia="en-GB"/>
        </w:rPr>
        <w:t>the zero line</w:t>
      </w:r>
      <w:r>
        <w:rPr>
          <w:rFonts w:ascii="Arial" w:eastAsia="Times New Roman" w:hAnsi="Arial" w:cs="Arial"/>
          <w:color w:val="222222"/>
          <w:sz w:val="15"/>
          <w:szCs w:val="15"/>
          <w:lang w:eastAsia="en-GB"/>
        </w:rPr>
        <w:t xml:space="preserve">. In-migrations are represented as red polygons </w:t>
      </w:r>
      <w:r w:rsidR="002722FC">
        <w:rPr>
          <w:rFonts w:ascii="Arial" w:eastAsia="Times New Roman" w:hAnsi="Arial" w:cs="Arial"/>
          <w:color w:val="222222"/>
          <w:sz w:val="15"/>
          <w:szCs w:val="15"/>
          <w:lang w:eastAsia="en-GB"/>
        </w:rPr>
        <w:t xml:space="preserve">also </w:t>
      </w:r>
      <w:r>
        <w:rPr>
          <w:rFonts w:ascii="Arial" w:eastAsia="Times New Roman" w:hAnsi="Arial" w:cs="Arial"/>
          <w:color w:val="222222"/>
          <w:sz w:val="15"/>
          <w:szCs w:val="15"/>
          <w:lang w:eastAsia="en-GB"/>
        </w:rPr>
        <w:t>above this line, and out-migrations by blue polygons below this line. Darker shades indicate international migration flows, and lighter shades internal migration</w:t>
      </w:r>
      <w:r w:rsidR="002722FC">
        <w:rPr>
          <w:rFonts w:ascii="Arial" w:eastAsia="Times New Roman" w:hAnsi="Arial" w:cs="Arial"/>
          <w:color w:val="222222"/>
          <w:sz w:val="15"/>
          <w:szCs w:val="15"/>
          <w:lang w:eastAsia="en-GB"/>
        </w:rPr>
        <w:t xml:space="preserve"> flows. Grey rectangles are added indicating the start and end of the working age range</w:t>
      </w:r>
      <w:r w:rsidR="006A095C">
        <w:rPr>
          <w:rFonts w:ascii="Arial" w:eastAsia="Times New Roman" w:hAnsi="Arial" w:cs="Arial"/>
          <w:color w:val="222222"/>
          <w:sz w:val="15"/>
          <w:szCs w:val="15"/>
          <w:lang w:eastAsia="en-GB"/>
        </w:rPr>
        <w:t xml:space="preserve">. </w:t>
      </w:r>
      <w:r>
        <w:rPr>
          <w:rFonts w:ascii="Arial" w:eastAsia="Times New Roman" w:hAnsi="Arial" w:cs="Arial"/>
          <w:color w:val="222222"/>
          <w:sz w:val="15"/>
          <w:szCs w:val="15"/>
          <w:lang w:eastAsia="en-GB"/>
        </w:rPr>
        <w:t>The figure was produced us</w:t>
      </w:r>
      <w:r w:rsidR="006A095C">
        <w:rPr>
          <w:rFonts w:ascii="Arial" w:eastAsia="Times New Roman" w:hAnsi="Arial" w:cs="Arial"/>
          <w:color w:val="222222"/>
          <w:sz w:val="15"/>
          <w:szCs w:val="15"/>
          <w:lang w:eastAsia="en-GB"/>
        </w:rPr>
        <w:t xml:space="preserve">ing the R package ggplot2 [ref], and the R script used to produce </w:t>
      </w:r>
      <w:r w:rsidR="002722FC">
        <w:rPr>
          <w:rFonts w:ascii="Arial" w:eastAsia="Times New Roman" w:hAnsi="Arial" w:cs="Arial"/>
          <w:color w:val="222222"/>
          <w:sz w:val="15"/>
          <w:szCs w:val="15"/>
          <w:lang w:eastAsia="en-GB"/>
        </w:rPr>
        <w:t xml:space="preserve">this and other figures </w:t>
      </w:r>
      <w:r w:rsidR="006A095C">
        <w:rPr>
          <w:rFonts w:ascii="Arial" w:eastAsia="Times New Roman" w:hAnsi="Arial" w:cs="Arial"/>
          <w:color w:val="222222"/>
          <w:sz w:val="15"/>
          <w:szCs w:val="15"/>
          <w:lang w:eastAsia="en-GB"/>
        </w:rPr>
        <w:t xml:space="preserve">is available on </w:t>
      </w:r>
      <w:proofErr w:type="spellStart"/>
      <w:r w:rsidR="006A095C">
        <w:rPr>
          <w:rFonts w:ascii="Arial" w:eastAsia="Times New Roman" w:hAnsi="Arial" w:cs="Arial"/>
          <w:color w:val="222222"/>
          <w:sz w:val="15"/>
          <w:szCs w:val="15"/>
          <w:lang w:eastAsia="en-GB"/>
        </w:rPr>
        <w:t>Github</w:t>
      </w:r>
      <w:proofErr w:type="spellEnd"/>
      <w:r w:rsidR="006A095C">
        <w:rPr>
          <w:rFonts w:ascii="Arial" w:eastAsia="Times New Roman" w:hAnsi="Arial" w:cs="Arial"/>
          <w:color w:val="222222"/>
          <w:sz w:val="15"/>
          <w:szCs w:val="15"/>
          <w:lang w:eastAsia="en-GB"/>
        </w:rPr>
        <w:t xml:space="preserve">. </w:t>
      </w:r>
      <w:r>
        <w:rPr>
          <w:rFonts w:ascii="Arial" w:eastAsia="Times New Roman" w:hAnsi="Arial" w:cs="Arial"/>
          <w:color w:val="222222"/>
          <w:sz w:val="15"/>
          <w:szCs w:val="15"/>
          <w:lang w:eastAsia="en-GB"/>
        </w:rPr>
        <w:t xml:space="preserve"> </w:t>
      </w:r>
    </w:p>
    <w:p w:rsidR="00D30D44" w:rsidRDefault="00D30D44"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Because of the large number of tiles included in the lattice plot, 12 columns wide by 11 rows deep, the final image is best viewed as a large (ideally A1 size) colour poster on a wall. Because of its size and presentation on a wall, I refer to the final image as a ‘data tableau’</w:t>
      </w:r>
    </w:p>
    <w:p w:rsidR="00D30D44" w:rsidRDefault="00D30D44" w:rsidP="000B23B5">
      <w:pPr>
        <w:shd w:val="clear" w:color="auto" w:fill="FFFFFF"/>
        <w:spacing w:after="0" w:line="240" w:lineRule="auto"/>
        <w:rPr>
          <w:rFonts w:ascii="Arial" w:eastAsia="Times New Roman" w:hAnsi="Arial" w:cs="Arial"/>
          <w:color w:val="222222"/>
          <w:sz w:val="15"/>
          <w:szCs w:val="15"/>
          <w:lang w:eastAsia="en-GB"/>
        </w:rPr>
      </w:pPr>
    </w:p>
    <w:p w:rsidR="00D30D44" w:rsidRDefault="00D30D44" w:rsidP="00D30D44">
      <w:pPr>
        <w:shd w:val="clear" w:color="auto" w:fill="FFFFFF"/>
        <w:spacing w:after="0" w:line="240" w:lineRule="auto"/>
        <w:rPr>
          <w:rFonts w:ascii="Arial" w:eastAsia="Times New Roman" w:hAnsi="Arial" w:cs="Arial"/>
          <w:b/>
          <w:color w:val="222222"/>
          <w:sz w:val="15"/>
          <w:szCs w:val="15"/>
          <w:lang w:eastAsia="en-GB"/>
        </w:rPr>
      </w:pPr>
      <w:r>
        <w:rPr>
          <w:rFonts w:ascii="Arial" w:eastAsia="Times New Roman" w:hAnsi="Arial" w:cs="Arial"/>
          <w:b/>
          <w:color w:val="222222"/>
          <w:sz w:val="15"/>
          <w:szCs w:val="15"/>
          <w:lang w:eastAsia="en-GB"/>
        </w:rPr>
        <w:t>Anatomy of a tile</w:t>
      </w:r>
    </w:p>
    <w:p w:rsidR="00D30D44" w:rsidRDefault="00D30D44" w:rsidP="00D30D44">
      <w:pPr>
        <w:shd w:val="clear" w:color="auto" w:fill="FFFFFF"/>
        <w:spacing w:after="0" w:line="240" w:lineRule="auto"/>
        <w:rPr>
          <w:rFonts w:ascii="Arial" w:eastAsia="Times New Roman" w:hAnsi="Arial" w:cs="Arial"/>
          <w:b/>
          <w:color w:val="222222"/>
          <w:sz w:val="15"/>
          <w:szCs w:val="15"/>
          <w:lang w:eastAsia="en-GB"/>
        </w:rPr>
      </w:pPr>
    </w:p>
    <w:p w:rsidR="00D30D44" w:rsidRDefault="00D30D44" w:rsidP="00D30D44">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The figure below provides an anatomy of</w:t>
      </w:r>
      <w:r w:rsidR="00110594">
        <w:rPr>
          <w:rFonts w:ascii="Arial" w:eastAsia="Times New Roman" w:hAnsi="Arial" w:cs="Arial"/>
          <w:color w:val="222222"/>
          <w:sz w:val="15"/>
          <w:szCs w:val="15"/>
          <w:lang w:eastAsia="en-GB"/>
        </w:rPr>
        <w:t xml:space="preserve"> one of the 132 tiles included in the full tableau. </w:t>
      </w:r>
    </w:p>
    <w:p w:rsidR="00110594" w:rsidRPr="00D30D44" w:rsidRDefault="00110594" w:rsidP="00D30D44">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noProof/>
          <w:color w:val="222222"/>
          <w:sz w:val="15"/>
          <w:szCs w:val="15"/>
          <w:lang w:eastAsia="en-GB"/>
        </w:rPr>
        <w:lastRenderedPageBreak/>
        <w:drawing>
          <wp:inline distT="0" distB="0" distL="0" distR="0">
            <wp:extent cx="5722620" cy="4293235"/>
            <wp:effectExtent l="19050" t="0" r="0" b="0"/>
            <wp:docPr id="1" name="Picture 1" descr="E:\repos\uk_migrant_demography\support_material\Anatomy of a t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epos\uk_migrant_demography\support_material\Anatomy of a tile.png"/>
                    <pic:cNvPicPr>
                      <a:picLocks noChangeAspect="1" noChangeArrowheads="1"/>
                    </pic:cNvPicPr>
                  </pic:nvPicPr>
                  <pic:blipFill>
                    <a:blip r:embed="rId4" cstate="print"/>
                    <a:srcRect/>
                    <a:stretch>
                      <a:fillRect/>
                    </a:stretch>
                  </pic:blipFill>
                  <pic:spPr bwMode="auto">
                    <a:xfrm>
                      <a:off x="0" y="0"/>
                      <a:ext cx="5722620" cy="4293235"/>
                    </a:xfrm>
                    <a:prstGeom prst="rect">
                      <a:avLst/>
                    </a:prstGeom>
                    <a:noFill/>
                    <a:ln w="9525">
                      <a:noFill/>
                      <a:miter lim="800000"/>
                      <a:headEnd/>
                      <a:tailEnd/>
                    </a:ln>
                  </pic:spPr>
                </pic:pic>
              </a:graphicData>
            </a:graphic>
          </wp:inline>
        </w:drawing>
      </w:r>
    </w:p>
    <w:p w:rsidR="00D30D44" w:rsidRDefault="00D30D44" w:rsidP="000B23B5">
      <w:pPr>
        <w:shd w:val="clear" w:color="auto" w:fill="FFFFFF"/>
        <w:spacing w:after="0" w:line="240" w:lineRule="auto"/>
        <w:rPr>
          <w:rFonts w:ascii="Arial" w:eastAsia="Times New Roman" w:hAnsi="Arial" w:cs="Arial"/>
          <w:color w:val="222222"/>
          <w:sz w:val="15"/>
          <w:szCs w:val="15"/>
          <w:lang w:eastAsia="en-GB"/>
        </w:rPr>
      </w:pPr>
    </w:p>
    <w:p w:rsidR="00110594" w:rsidRDefault="00110594"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 xml:space="preserve">We can see that the data layer comprises the five polygons representing overall population structure and migration counts at specific ages, the support layer comprises the grid lines and (for the left most and bottom tiles) the axis tick marks and labels, and the annotation layer comprises the two translucent grey rectangles indicating childhood and post-retirement ages. </w:t>
      </w:r>
    </w:p>
    <w:p w:rsidR="00110594" w:rsidRDefault="00110594" w:rsidP="000B23B5">
      <w:pPr>
        <w:shd w:val="clear" w:color="auto" w:fill="FFFFFF"/>
        <w:spacing w:after="0" w:line="240" w:lineRule="auto"/>
        <w:rPr>
          <w:rFonts w:ascii="Arial" w:eastAsia="Times New Roman" w:hAnsi="Arial" w:cs="Arial"/>
          <w:color w:val="222222"/>
          <w:sz w:val="15"/>
          <w:szCs w:val="15"/>
          <w:lang w:eastAsia="en-GB"/>
        </w:rPr>
      </w:pPr>
    </w:p>
    <w:p w:rsidR="00C8438E" w:rsidRDefault="00C8438E" w:rsidP="000B23B5">
      <w:pPr>
        <w:shd w:val="clear" w:color="auto" w:fill="FFFFFF"/>
        <w:spacing w:after="0" w:line="240" w:lineRule="auto"/>
        <w:rPr>
          <w:rFonts w:ascii="Arial" w:eastAsia="Times New Roman" w:hAnsi="Arial" w:cs="Arial"/>
          <w:color w:val="222222"/>
          <w:sz w:val="15"/>
          <w:szCs w:val="15"/>
          <w:lang w:eastAsia="en-GB"/>
        </w:rPr>
      </w:pPr>
    </w:p>
    <w:p w:rsidR="006A095C" w:rsidRDefault="00110594" w:rsidP="006A095C">
      <w:pPr>
        <w:shd w:val="clear" w:color="auto" w:fill="FFFFFF"/>
        <w:spacing w:after="0" w:line="240" w:lineRule="auto"/>
        <w:rPr>
          <w:rFonts w:ascii="Arial" w:eastAsia="Times New Roman" w:hAnsi="Arial" w:cs="Arial"/>
          <w:b/>
          <w:color w:val="222222"/>
          <w:sz w:val="15"/>
          <w:szCs w:val="15"/>
          <w:lang w:eastAsia="en-GB"/>
        </w:rPr>
      </w:pPr>
      <w:r>
        <w:rPr>
          <w:rFonts w:ascii="Arial" w:eastAsia="Times New Roman" w:hAnsi="Arial" w:cs="Arial"/>
          <w:b/>
          <w:color w:val="222222"/>
          <w:sz w:val="15"/>
          <w:szCs w:val="15"/>
          <w:lang w:eastAsia="en-GB"/>
        </w:rPr>
        <w:t>Results</w:t>
      </w:r>
    </w:p>
    <w:p w:rsidR="006A095C" w:rsidRDefault="006A095C" w:rsidP="006A095C">
      <w:pPr>
        <w:shd w:val="clear" w:color="auto" w:fill="FFFFFF"/>
        <w:spacing w:after="0" w:line="240" w:lineRule="auto"/>
        <w:rPr>
          <w:rFonts w:ascii="Arial" w:eastAsia="Times New Roman" w:hAnsi="Arial" w:cs="Arial"/>
          <w:b/>
          <w:color w:val="222222"/>
          <w:sz w:val="15"/>
          <w:szCs w:val="15"/>
          <w:lang w:eastAsia="en-GB"/>
        </w:rPr>
      </w:pPr>
    </w:p>
    <w:p w:rsidR="006A095C" w:rsidRPr="006A095C" w:rsidRDefault="006A095C" w:rsidP="006A095C">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 xml:space="preserve">The figures highlight a number of important demographic features, such as: the transition of the 1948 ‘Baby Boomers’ from working age to retirement; high rates of young adult international migration in London; the slightly older population peaks in the South East compared with London; and the relatively old and small population sizes in Wales and the North of England; and a broad symmetry between in-migration and out-migration flows. Except for London, they also show internal migration to be much larger at all ages than international migration. </w:t>
      </w:r>
    </w:p>
    <w:p w:rsidR="006A095C" w:rsidRDefault="006A095C" w:rsidP="000B23B5">
      <w:pPr>
        <w:shd w:val="clear" w:color="auto" w:fill="FFFFFF"/>
        <w:spacing w:after="0" w:line="240" w:lineRule="auto"/>
        <w:rPr>
          <w:rFonts w:ascii="Arial" w:eastAsia="Times New Roman" w:hAnsi="Arial" w:cs="Arial"/>
          <w:color w:val="222222"/>
          <w:sz w:val="15"/>
          <w:szCs w:val="15"/>
          <w:lang w:eastAsia="en-GB"/>
        </w:rPr>
      </w:pPr>
    </w:p>
    <w:p w:rsidR="00110594" w:rsidRDefault="00110594" w:rsidP="000B23B5">
      <w:pPr>
        <w:shd w:val="clear" w:color="auto" w:fill="FFFFFF"/>
        <w:spacing w:after="0" w:line="240" w:lineRule="auto"/>
        <w:rPr>
          <w:rFonts w:ascii="Arial" w:eastAsia="Times New Roman" w:hAnsi="Arial" w:cs="Arial"/>
          <w:color w:val="222222"/>
          <w:sz w:val="15"/>
          <w:szCs w:val="15"/>
          <w:lang w:eastAsia="en-GB"/>
        </w:rPr>
      </w:pPr>
    </w:p>
    <w:p w:rsidR="00110594" w:rsidRDefault="00110594" w:rsidP="000B23B5">
      <w:pPr>
        <w:shd w:val="clear" w:color="auto" w:fill="FFFFFF"/>
        <w:spacing w:after="0" w:line="240" w:lineRule="auto"/>
        <w:rPr>
          <w:rFonts w:ascii="Arial" w:eastAsia="Times New Roman" w:hAnsi="Arial" w:cs="Arial"/>
          <w:b/>
          <w:color w:val="222222"/>
          <w:sz w:val="15"/>
          <w:szCs w:val="15"/>
          <w:lang w:eastAsia="en-GB"/>
        </w:rPr>
      </w:pPr>
      <w:r>
        <w:rPr>
          <w:rFonts w:ascii="Arial" w:eastAsia="Times New Roman" w:hAnsi="Arial" w:cs="Arial"/>
          <w:b/>
          <w:color w:val="222222"/>
          <w:sz w:val="15"/>
          <w:szCs w:val="15"/>
          <w:lang w:eastAsia="en-GB"/>
        </w:rPr>
        <w:t>Discussion</w:t>
      </w:r>
    </w:p>
    <w:p w:rsidR="00110594" w:rsidRDefault="00110594" w:rsidP="000B23B5">
      <w:pPr>
        <w:shd w:val="clear" w:color="auto" w:fill="FFFFFF"/>
        <w:spacing w:after="0" w:line="240" w:lineRule="auto"/>
        <w:rPr>
          <w:rFonts w:ascii="Arial" w:eastAsia="Times New Roman" w:hAnsi="Arial" w:cs="Arial"/>
          <w:color w:val="222222"/>
          <w:sz w:val="15"/>
          <w:szCs w:val="15"/>
          <w:lang w:eastAsia="en-GB"/>
        </w:rPr>
      </w:pPr>
    </w:p>
    <w:p w:rsidR="00110594" w:rsidRPr="00110594" w:rsidRDefault="00110594" w:rsidP="000B23B5">
      <w:pPr>
        <w:shd w:val="clear" w:color="auto" w:fill="FFFFFF"/>
        <w:spacing w:after="0" w:line="240" w:lineRule="auto"/>
        <w:rPr>
          <w:rFonts w:ascii="Arial" w:eastAsia="Times New Roman" w:hAnsi="Arial" w:cs="Arial"/>
          <w:color w:val="222222"/>
          <w:sz w:val="15"/>
          <w:szCs w:val="15"/>
          <w:lang w:eastAsia="en-GB"/>
        </w:rPr>
      </w:pPr>
      <w:r>
        <w:rPr>
          <w:rFonts w:ascii="Arial" w:eastAsia="Times New Roman" w:hAnsi="Arial" w:cs="Arial"/>
          <w:color w:val="222222"/>
          <w:sz w:val="15"/>
          <w:szCs w:val="15"/>
          <w:lang w:eastAsia="en-GB"/>
        </w:rPr>
        <w:t xml:space="preserve">By presenting these official estimates of annual migration and population counts in this way, a number of complex and engaging patterns emerge. These visualisations allow more knowledge and insight about migration and population processes, and regional variation in the UK, with important ramifications for economics, elder care, school and public service spanning, and regional inequalities. </w:t>
      </w:r>
    </w:p>
    <w:sectPr w:rsidR="00110594" w:rsidRPr="00110594" w:rsidSect="001E5AA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proofState w:spelling="clean" w:grammar="clean"/>
  <w:defaultTabStop w:val="720"/>
  <w:characterSpacingControl w:val="doNotCompress"/>
  <w:compat/>
  <w:rsids>
    <w:rsidRoot w:val="000B23B5"/>
    <w:rsid w:val="000B23B5"/>
    <w:rsid w:val="00110594"/>
    <w:rsid w:val="001E5AAD"/>
    <w:rsid w:val="002722FC"/>
    <w:rsid w:val="00312489"/>
    <w:rsid w:val="00445DEE"/>
    <w:rsid w:val="00462CA2"/>
    <w:rsid w:val="006A095C"/>
    <w:rsid w:val="008316F6"/>
    <w:rsid w:val="009838E0"/>
    <w:rsid w:val="00C42BE8"/>
    <w:rsid w:val="00C8438E"/>
    <w:rsid w:val="00D30D44"/>
    <w:rsid w:val="00F54C2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AA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05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59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35017357">
      <w:bodyDiv w:val="1"/>
      <w:marLeft w:val="0"/>
      <w:marRight w:val="0"/>
      <w:marTop w:val="0"/>
      <w:marBottom w:val="0"/>
      <w:divBdr>
        <w:top w:val="none" w:sz="0" w:space="0" w:color="auto"/>
        <w:left w:val="none" w:sz="0" w:space="0" w:color="auto"/>
        <w:bottom w:val="none" w:sz="0" w:space="0" w:color="auto"/>
        <w:right w:val="none" w:sz="0" w:space="0" w:color="auto"/>
      </w:divBdr>
      <w:divsChild>
        <w:div w:id="1986398097">
          <w:marLeft w:val="0"/>
          <w:marRight w:val="0"/>
          <w:marTop w:val="0"/>
          <w:marBottom w:val="0"/>
          <w:divBdr>
            <w:top w:val="none" w:sz="0" w:space="0" w:color="auto"/>
            <w:left w:val="none" w:sz="0" w:space="0" w:color="auto"/>
            <w:bottom w:val="none" w:sz="0" w:space="0" w:color="auto"/>
            <w:right w:val="none" w:sz="0" w:space="0" w:color="auto"/>
          </w:divBdr>
        </w:div>
        <w:div w:id="1058433728">
          <w:marLeft w:val="0"/>
          <w:marRight w:val="0"/>
          <w:marTop w:val="0"/>
          <w:marBottom w:val="0"/>
          <w:divBdr>
            <w:top w:val="none" w:sz="0" w:space="0" w:color="auto"/>
            <w:left w:val="none" w:sz="0" w:space="0" w:color="auto"/>
            <w:bottom w:val="none" w:sz="0" w:space="0" w:color="auto"/>
            <w:right w:val="none" w:sz="0" w:space="0" w:color="auto"/>
          </w:divBdr>
        </w:div>
        <w:div w:id="1601599548">
          <w:marLeft w:val="0"/>
          <w:marRight w:val="0"/>
          <w:marTop w:val="0"/>
          <w:marBottom w:val="0"/>
          <w:divBdr>
            <w:top w:val="none" w:sz="0" w:space="0" w:color="auto"/>
            <w:left w:val="none" w:sz="0" w:space="0" w:color="auto"/>
            <w:bottom w:val="none" w:sz="0" w:space="0" w:color="auto"/>
            <w:right w:val="none" w:sz="0" w:space="0" w:color="auto"/>
          </w:divBdr>
        </w:div>
        <w:div w:id="1231381056">
          <w:marLeft w:val="0"/>
          <w:marRight w:val="0"/>
          <w:marTop w:val="0"/>
          <w:marBottom w:val="0"/>
          <w:divBdr>
            <w:top w:val="none" w:sz="0" w:space="0" w:color="auto"/>
            <w:left w:val="none" w:sz="0" w:space="0" w:color="auto"/>
            <w:bottom w:val="none" w:sz="0" w:space="0" w:color="auto"/>
            <w:right w:val="none" w:sz="0" w:space="0" w:color="auto"/>
          </w:divBdr>
        </w:div>
        <w:div w:id="1306471350">
          <w:marLeft w:val="0"/>
          <w:marRight w:val="0"/>
          <w:marTop w:val="0"/>
          <w:marBottom w:val="0"/>
          <w:divBdr>
            <w:top w:val="none" w:sz="0" w:space="0" w:color="auto"/>
            <w:left w:val="none" w:sz="0" w:space="0" w:color="auto"/>
            <w:bottom w:val="none" w:sz="0" w:space="0" w:color="auto"/>
            <w:right w:val="none" w:sz="0" w:space="0" w:color="auto"/>
          </w:divBdr>
        </w:div>
        <w:div w:id="2072314623">
          <w:marLeft w:val="0"/>
          <w:marRight w:val="0"/>
          <w:marTop w:val="0"/>
          <w:marBottom w:val="0"/>
          <w:divBdr>
            <w:top w:val="none" w:sz="0" w:space="0" w:color="auto"/>
            <w:left w:val="none" w:sz="0" w:space="0" w:color="auto"/>
            <w:bottom w:val="none" w:sz="0" w:space="0" w:color="auto"/>
            <w:right w:val="none" w:sz="0" w:space="0" w:color="auto"/>
          </w:divBdr>
        </w:div>
        <w:div w:id="160774496">
          <w:marLeft w:val="0"/>
          <w:marRight w:val="0"/>
          <w:marTop w:val="0"/>
          <w:marBottom w:val="0"/>
          <w:divBdr>
            <w:top w:val="none" w:sz="0" w:space="0" w:color="auto"/>
            <w:left w:val="none" w:sz="0" w:space="0" w:color="auto"/>
            <w:bottom w:val="none" w:sz="0" w:space="0" w:color="auto"/>
            <w:right w:val="none" w:sz="0" w:space="0" w:color="auto"/>
          </w:divBdr>
          <w:divsChild>
            <w:div w:id="17416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6566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jm383x</dc:creator>
  <cp:lastModifiedBy>jm383x</cp:lastModifiedBy>
  <cp:revision>2</cp:revision>
  <dcterms:created xsi:type="dcterms:W3CDTF">2015-06-19T10:34:00Z</dcterms:created>
  <dcterms:modified xsi:type="dcterms:W3CDTF">2015-09-11T10:29:00Z</dcterms:modified>
</cp:coreProperties>
</file>