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75B" w:rsidRDefault="00737D20">
      <w:pPr>
        <w:pStyle w:val="Heading1"/>
      </w:pPr>
      <w:bookmarkStart w:id="0" w:name="structured-abstract-250-words"/>
      <w:bookmarkEnd w:id="0"/>
      <w:r>
        <w:t>Structured Abstract (250 words)</w:t>
      </w:r>
    </w:p>
    <w:p w:rsidR="009C575B" w:rsidRDefault="00737D20">
      <w:r>
        <w:t>BACKGROUND Understanding the size and composition of sub-national populations is essential for effective resource allocation and planning for demographic change. We present a method for visualising the size, age structure, dependency ratios and migration h</w:t>
      </w:r>
      <w:r>
        <w:t>istory for any area over time which is both easy to understand and visually appealing, providing a tool which can be used to convey these important demographic information to a wide range of users.</w:t>
      </w:r>
    </w:p>
    <w:p w:rsidR="009C575B" w:rsidRDefault="00737D20">
      <w:r>
        <w:t>OBJECTIVE The study presents a method for presenting a mul</w:t>
      </w:r>
      <w:r>
        <w:t>ti-faceted demographic dataset in a way which conveys maximum information yet is still easy to interpret.</w:t>
      </w:r>
    </w:p>
    <w:p w:rsidR="009C575B" w:rsidRDefault="00737D20">
      <w:r>
        <w:t>METHODS We take publicly available data for UK regions which details the size and age breakdown of the population, along with the internal and interna</w:t>
      </w:r>
      <w:r>
        <w:t>tional migration flows for the period 2002-2013. We visualise these data using a tiled array of images which each contain over 400 values, using the ggplot2 package in R.</w:t>
      </w:r>
    </w:p>
    <w:p w:rsidR="009C575B" w:rsidRDefault="00737D20">
      <w:r>
        <w:t>RESULTS A large amount of information on demographic change over time at regional lev</w:t>
      </w:r>
      <w:r>
        <w:t>el is conveyed in a clear and accessible way using the method, and we argue that it can be easily applied to datasets from other countries and at different spatial scales. Analysis of our UK regional time-series shows that elderly dependency ratios are inc</w:t>
      </w:r>
      <w:r>
        <w:t>reasing, a trend which looks set to continue.</w:t>
      </w:r>
    </w:p>
    <w:p w:rsidR="009C575B" w:rsidRDefault="00737D20">
      <w:r>
        <w:t>CONCLUSIONS When presenting demographic information, our method can be used to convey a complex and changing pattern to a wide audience.</w:t>
      </w:r>
    </w:p>
    <w:p w:rsidR="009C575B" w:rsidRDefault="00737D20">
      <w:r>
        <w:t xml:space="preserve">CONTRIBUTION By taking multi-dimensional demographic data and presenting </w:t>
      </w:r>
      <w:r>
        <w:t>these in a way which is quick and easy to understand and interpret, we are providing a tool which can be used to convey a detailed message about change over time in a clear and concise way. These data are essential for a wide range of users, from academics</w:t>
      </w:r>
      <w:r>
        <w:t xml:space="preserve"> to planners, and the code is fully reproducible with any dataset which contains the required demographic information.</w:t>
      </w:r>
    </w:p>
    <w:p w:rsidR="009C575B" w:rsidRDefault="00737D20">
      <w:pPr>
        <w:pStyle w:val="Heading1"/>
      </w:pPr>
      <w:bookmarkStart w:id="1" w:name="introduction"/>
      <w:bookmarkEnd w:id="1"/>
      <w:r>
        <w:t>Introduction</w:t>
      </w:r>
    </w:p>
    <w:p w:rsidR="009C575B" w:rsidRDefault="00737D20">
      <w:r>
        <w:t>Understanding population flows and population structure within regions and other small areas within a country is important f</w:t>
      </w:r>
      <w:r>
        <w:t>or many reasons. For example knowing a region's current young adult population, and the associated fertility rates associated with different ages, can help with forecasting the number and age distribution of children in future years, with important implica</w:t>
      </w:r>
      <w:r>
        <w:t>tions for resource planning in terms of deciding the size and distribution of primary and secondary schools, for example. Likewise, knowing something about the number of older adults, just a few years short of retirement age, and their propensities to eith</w:t>
      </w:r>
      <w:r>
        <w:t xml:space="preserve">er migrate into or out of a region, can help to forecast how dependency ratios are likely to change over time; together with some knowledge about the ages at which older males and females tend to become 'elderly' and frail, and so increasingly </w:t>
      </w:r>
      <w:r>
        <w:lastRenderedPageBreak/>
        <w:t>dependent on</w:t>
      </w:r>
      <w:r>
        <w:t xml:space="preserve"> health and social care facilities, can help regions to plan effectively to meet future health and social care needs. Understanding the population structure within the working age population, and how this is changing over time, can help planners better und</w:t>
      </w:r>
      <w:r>
        <w:t>erstand how much income and wealth is being generated within that region, and so to predict that amount of funding for services that is likely to be received now and in the future through regional taxation, and so whether this is likely to be sufficient to</w:t>
      </w:r>
      <w:r>
        <w:t xml:space="preserve"> provide current and future public service needs. Similar concerns also face private sector and third sector organisations, whose customers, users and clients tend to be drawn from particular demographic groupings, and so knowledge of regional demographic </w:t>
      </w:r>
      <w:r>
        <w:t>structure is valuable for them as well.</w:t>
      </w:r>
    </w:p>
    <w:p w:rsidR="009C575B" w:rsidRDefault="00737D20">
      <w:r>
        <w:t>Much quantitative research within academic institutions is concerned with producing very precise, methodologically innovative and robust findings using advanced statistical models. Concerns about model-misspecificati</w:t>
      </w:r>
      <w:r>
        <w:t>on, variable endogeneity, and the statistical significance or otherwise of particular statistical model coefficients abound, and the process of addressing any real or perceived methodological failings within quantitative analyses, pre-judging and respondin</w:t>
      </w:r>
      <w:r>
        <w:t>g to comments and criticisms made within the peer review process, can take months if not years. Within this process, sometimes the benefits of simply presenting data 'as is', in ways that make intuitive sense to an audience and allow them to make their own</w:t>
      </w:r>
      <w:r>
        <w:t xml:space="preserve"> judgements about about what the data are showing, is forgotten. Although data presented numerically, as tables of values, can quickly overwhelm our limits to comprehend, when the same data is presented graphically the cognitive limits to understanding are</w:t>
      </w:r>
      <w:r>
        <w:t xml:space="preserve"> greatly reduced, and our capacity to be informed rather than overwhelmed by data is much increased as a result.</w:t>
      </w:r>
    </w:p>
    <w:p w:rsidR="009C575B" w:rsidRDefault="00737D20">
      <w:r>
        <w:t>Within this paper, we detail a visual design process, a set of design decisions, and the reasons for them, that we made in order to visually pr</w:t>
      </w:r>
      <w:r>
        <w:t>esent large amounts of regional data on population structure and migration flows within most UK regions from 2002 to 2013, in ways that allow complex changes in the population structure within UK regions, and differences and interdependencies between UK re</w:t>
      </w:r>
      <w:r>
        <w:t xml:space="preserve">gions, to be understood intuitively and quickly by people from a wide range of backgrounds. The end result of this is what we call a 'data tableau', a tiled array of small images which each contain over 400 values split into five variables. In total, this </w:t>
      </w:r>
      <w:r>
        <w:t>data tableau presents more than 60,000 values, but in a way that it is hoped engages rather than overwhelmed. The data tableau is presented as a figure within this manuscript, but is also available to download as an online high resolution image. To make be</w:t>
      </w:r>
      <w:r>
        <w:t>st use of the tableau, we recommend downloading and printing it out at A2 size or above. However, exploring the image online by zooming into and out of sections of it is also an effective way of exploring it.</w:t>
      </w:r>
    </w:p>
    <w:p w:rsidR="009C575B" w:rsidRDefault="00737D20">
      <w:r>
        <w:t>The structure of this paper is as follows: ....</w:t>
      </w:r>
    </w:p>
    <w:p w:rsidR="009C575B" w:rsidRDefault="00737D20">
      <w:pPr>
        <w:pStyle w:val="Heading2"/>
      </w:pPr>
      <w:bookmarkStart w:id="2" w:name="demography"/>
      <w:bookmarkEnd w:id="2"/>
      <w:r>
        <w:t>Demography</w:t>
      </w:r>
    </w:p>
    <w:p w:rsidR="009C575B" w:rsidRDefault="00737D20">
      <w:pPr>
        <w:pStyle w:val="Compact"/>
        <w:numPr>
          <w:ilvl w:val="0"/>
          <w:numId w:val="3"/>
        </w:numPr>
      </w:pPr>
      <w:r>
        <w:t>Regional population structures</w:t>
      </w:r>
    </w:p>
    <w:p w:rsidR="009C575B" w:rsidRDefault="00737D20">
      <w:pPr>
        <w:pStyle w:val="Compact"/>
        <w:numPr>
          <w:ilvl w:val="0"/>
          <w:numId w:val="3"/>
        </w:numPr>
      </w:pPr>
      <w:r>
        <w:t>world cities and federal regions</w:t>
      </w:r>
    </w:p>
    <w:p w:rsidR="009C575B" w:rsidRDefault="00737D20">
      <w:pPr>
        <w:numPr>
          <w:ilvl w:val="0"/>
          <w:numId w:val="3"/>
        </w:numPr>
      </w:pPr>
      <w:r>
        <w:t>social and economic implications</w:t>
      </w:r>
    </w:p>
    <w:p w:rsidR="009C575B" w:rsidRDefault="00737D20">
      <w:pPr>
        <w:pStyle w:val="Compact"/>
        <w:numPr>
          <w:ilvl w:val="0"/>
          <w:numId w:val="3"/>
        </w:numPr>
      </w:pPr>
      <w:r>
        <w:lastRenderedPageBreak/>
        <w:t>Role of migration in shaping population structures</w:t>
      </w:r>
    </w:p>
    <w:p w:rsidR="009C575B" w:rsidRDefault="00737D20">
      <w:pPr>
        <w:numPr>
          <w:ilvl w:val="0"/>
          <w:numId w:val="3"/>
        </w:numPr>
      </w:pPr>
      <w:r>
        <w:t>Migration means regions can 'age' at more or less than 1 year / year</w:t>
      </w:r>
    </w:p>
    <w:p w:rsidR="009C575B" w:rsidRDefault="00737D20">
      <w:pPr>
        <w:pStyle w:val="Compact"/>
        <w:numPr>
          <w:ilvl w:val="0"/>
          <w:numId w:val="3"/>
        </w:numPr>
      </w:pPr>
      <w:r>
        <w:t>Difference between internal</w:t>
      </w:r>
      <w:r>
        <w:t xml:space="preserve"> and international migration</w:t>
      </w:r>
    </w:p>
    <w:p w:rsidR="009C575B" w:rsidRDefault="00737D20">
      <w:pPr>
        <w:numPr>
          <w:ilvl w:val="0"/>
          <w:numId w:val="3"/>
        </w:numPr>
      </w:pPr>
      <w:r>
        <w:t>Distance decay relationships in migration moves</w:t>
      </w:r>
    </w:p>
    <w:p w:rsidR="009C575B" w:rsidRDefault="00737D20">
      <w:pPr>
        <w:pStyle w:val="Heading2"/>
      </w:pPr>
      <w:bookmarkStart w:id="3" w:name="data"/>
      <w:bookmarkEnd w:id="3"/>
      <w:r>
        <w:t>Data</w:t>
      </w:r>
    </w:p>
    <w:p w:rsidR="009C575B" w:rsidRDefault="00737D20">
      <w:pPr>
        <w:pStyle w:val="Compact"/>
        <w:numPr>
          <w:ilvl w:val="0"/>
          <w:numId w:val="4"/>
        </w:numPr>
      </w:pPr>
      <w:r>
        <w:t>Methods for estimating population counts</w:t>
      </w:r>
    </w:p>
    <w:p w:rsidR="009C575B" w:rsidRDefault="00737D20">
      <w:pPr>
        <w:pStyle w:val="Compact"/>
        <w:numPr>
          <w:ilvl w:val="0"/>
          <w:numId w:val="4"/>
        </w:numPr>
      </w:pPr>
      <w:r>
        <w:t>Ways of defining internal and international migration</w:t>
      </w:r>
    </w:p>
    <w:p w:rsidR="009C575B" w:rsidRDefault="00737D20">
      <w:pPr>
        <w:pStyle w:val="Compact"/>
        <w:numPr>
          <w:ilvl w:val="0"/>
          <w:numId w:val="4"/>
        </w:numPr>
      </w:pPr>
      <w:r>
        <w:t>Uses of population count and migration flow data</w:t>
      </w:r>
    </w:p>
    <w:p w:rsidR="009C575B" w:rsidRDefault="00737D20">
      <w:pPr>
        <w:pStyle w:val="Compact"/>
        <w:numPr>
          <w:ilvl w:val="0"/>
          <w:numId w:val="4"/>
        </w:numPr>
      </w:pPr>
      <w:r>
        <w:t>Local authority resource plann</w:t>
      </w:r>
      <w:r>
        <w:t>ing</w:t>
      </w:r>
    </w:p>
    <w:p w:rsidR="009C575B" w:rsidRDefault="00737D20">
      <w:pPr>
        <w:pStyle w:val="Compact"/>
        <w:numPr>
          <w:ilvl w:val="0"/>
          <w:numId w:val="4"/>
        </w:numPr>
      </w:pPr>
      <w:r>
        <w:t>Examples of such data</w:t>
      </w:r>
    </w:p>
    <w:p w:rsidR="009C575B" w:rsidRDefault="00737D20">
      <w:pPr>
        <w:pStyle w:val="Compact"/>
        <w:numPr>
          <w:ilvl w:val="0"/>
          <w:numId w:val="4"/>
        </w:numPr>
      </w:pPr>
      <w:r>
        <w:t>non-UK examples (who holds what data, from when, to when, what level of spatial and age disaggregation)</w:t>
      </w:r>
    </w:p>
    <w:p w:rsidR="009C575B" w:rsidRDefault="00737D20">
      <w:pPr>
        <w:pStyle w:val="Compact"/>
        <w:numPr>
          <w:ilvl w:val="0"/>
          <w:numId w:val="4"/>
        </w:numPr>
      </w:pPr>
      <w:r>
        <w:t>UK data</w:t>
      </w:r>
    </w:p>
    <w:p w:rsidR="009C575B" w:rsidRDefault="00737D20">
      <w:pPr>
        <w:pStyle w:val="Heading2"/>
      </w:pPr>
      <w:bookmarkStart w:id="4" w:name="data-visualisation"/>
      <w:bookmarkEnd w:id="4"/>
      <w:r>
        <w:t>Data visualisation</w:t>
      </w:r>
    </w:p>
    <w:p w:rsidR="009C575B" w:rsidRDefault="00737D20">
      <w:pPr>
        <w:pStyle w:val="Compact"/>
        <w:numPr>
          <w:ilvl w:val="0"/>
          <w:numId w:val="5"/>
        </w:numPr>
      </w:pPr>
      <w:r>
        <w:t>A form of exploratory data analysis</w:t>
      </w:r>
    </w:p>
    <w:p w:rsidR="009C575B" w:rsidRDefault="00737D20">
      <w:pPr>
        <w:pStyle w:val="Compact"/>
        <w:numPr>
          <w:ilvl w:val="0"/>
          <w:numId w:val="5"/>
        </w:numPr>
      </w:pPr>
      <w:r>
        <w:t>Part of a process alongside statistical modelling</w:t>
      </w:r>
    </w:p>
    <w:p w:rsidR="009C575B" w:rsidRDefault="00737D20">
      <w:pPr>
        <w:pStyle w:val="Compact"/>
        <w:numPr>
          <w:ilvl w:val="0"/>
          <w:numId w:val="5"/>
        </w:numPr>
      </w:pPr>
      <w:r>
        <w:t>Aim is to turn data into insight</w:t>
      </w:r>
    </w:p>
    <w:p w:rsidR="009C575B" w:rsidRDefault="00737D20">
      <w:pPr>
        <w:pStyle w:val="Heading3"/>
      </w:pPr>
      <w:bookmarkStart w:id="5" w:name="history-and-principles"/>
      <w:bookmarkEnd w:id="5"/>
      <w:r>
        <w:t>History and Principles</w:t>
      </w:r>
    </w:p>
    <w:p w:rsidR="009C575B" w:rsidRDefault="00737D20">
      <w:pPr>
        <w:pStyle w:val="Compact"/>
        <w:numPr>
          <w:ilvl w:val="0"/>
          <w:numId w:val="6"/>
        </w:numPr>
      </w:pPr>
      <w:r>
        <w:t>Tukey - exploratory data analysis</w:t>
      </w:r>
    </w:p>
    <w:p w:rsidR="009C575B" w:rsidRDefault="00737D20">
      <w:pPr>
        <w:pStyle w:val="Compact"/>
        <w:numPr>
          <w:ilvl w:val="0"/>
          <w:numId w:val="6"/>
        </w:numPr>
      </w:pPr>
      <w:r>
        <w:t>Tufte</w:t>
      </w:r>
    </w:p>
    <w:p w:rsidR="009C575B" w:rsidRDefault="00737D20">
      <w:pPr>
        <w:pStyle w:val="Compact"/>
        <w:numPr>
          <w:ilvl w:val="0"/>
          <w:numId w:val="6"/>
        </w:numPr>
      </w:pPr>
      <w:r>
        <w:t>Uncluttered and minimal presentations</w:t>
      </w:r>
    </w:p>
    <w:p w:rsidR="009C575B" w:rsidRDefault="00737D20">
      <w:pPr>
        <w:pStyle w:val="Compact"/>
        <w:numPr>
          <w:ilvl w:val="0"/>
          <w:numId w:val="6"/>
        </w:numPr>
      </w:pPr>
      <w:r>
        <w:t>Small multiples</w:t>
      </w:r>
    </w:p>
    <w:p w:rsidR="009C575B" w:rsidRDefault="00737D20">
      <w:pPr>
        <w:pStyle w:val="Compact"/>
        <w:numPr>
          <w:ilvl w:val="0"/>
          <w:numId w:val="6"/>
        </w:numPr>
      </w:pPr>
      <w:r>
        <w:t>Wilkinson</w:t>
      </w:r>
    </w:p>
    <w:p w:rsidR="009C575B" w:rsidRDefault="00737D20">
      <w:pPr>
        <w:pStyle w:val="Compact"/>
        <w:numPr>
          <w:ilvl w:val="0"/>
          <w:numId w:val="6"/>
        </w:numPr>
      </w:pPr>
      <w:r>
        <w:t>Grammar of Graphics</w:t>
      </w:r>
    </w:p>
    <w:p w:rsidR="009C575B" w:rsidRDefault="00737D20">
      <w:pPr>
        <w:pStyle w:val="Compact"/>
        <w:numPr>
          <w:ilvl w:val="1"/>
          <w:numId w:val="7"/>
        </w:numPr>
      </w:pPr>
      <w:r>
        <w:t>A method for clearly describing the process of mapping from data to graphica</w:t>
      </w:r>
      <w:r>
        <w:t>l representations</w:t>
      </w:r>
    </w:p>
    <w:p w:rsidR="009C575B" w:rsidRDefault="00737D20">
      <w:pPr>
        <w:pStyle w:val="Compact"/>
        <w:numPr>
          <w:ilvl w:val="0"/>
          <w:numId w:val="6"/>
        </w:numPr>
      </w:pPr>
      <w:r>
        <w:t>Wickham</w:t>
      </w:r>
    </w:p>
    <w:p w:rsidR="009C575B" w:rsidRDefault="00737D20">
      <w:pPr>
        <w:pStyle w:val="Compact"/>
        <w:numPr>
          <w:ilvl w:val="0"/>
          <w:numId w:val="6"/>
        </w:numPr>
      </w:pPr>
      <w:r>
        <w:t>ggplot2 - widely used implementation of grammar of graphics principles in R</w:t>
      </w:r>
    </w:p>
    <w:p w:rsidR="009C575B" w:rsidRDefault="00737D20">
      <w:pPr>
        <w:pStyle w:val="Compact"/>
        <w:numPr>
          <w:ilvl w:val="0"/>
          <w:numId w:val="6"/>
        </w:numPr>
      </w:pPr>
      <w:r>
        <w:t>Also developer of series of packages for data science more generally</w:t>
      </w:r>
    </w:p>
    <w:p w:rsidR="009C575B" w:rsidRDefault="00737D20">
      <w:pPr>
        <w:pStyle w:val="Compact"/>
        <w:numPr>
          <w:ilvl w:val="0"/>
          <w:numId w:val="6"/>
        </w:numPr>
      </w:pPr>
      <w:r>
        <w:t>Importance of thinking about data visualisations as comprising a series of 'layers'</w:t>
      </w:r>
    </w:p>
    <w:p w:rsidR="009C575B" w:rsidRDefault="00737D20">
      <w:pPr>
        <w:pStyle w:val="Compact"/>
        <w:numPr>
          <w:ilvl w:val="0"/>
          <w:numId w:val="6"/>
        </w:numPr>
      </w:pPr>
      <w:r>
        <w:t>G</w:t>
      </w:r>
      <w:r>
        <w:t>uide layer /background - the 'canvas'</w:t>
      </w:r>
    </w:p>
    <w:p w:rsidR="009C575B" w:rsidRDefault="00737D20">
      <w:pPr>
        <w:pStyle w:val="Compact"/>
        <w:numPr>
          <w:ilvl w:val="0"/>
          <w:numId w:val="6"/>
        </w:numPr>
      </w:pPr>
      <w:r>
        <w:t>data layer - result of consistently mapping data to geoms on the 'canvas'</w:t>
      </w:r>
    </w:p>
    <w:p w:rsidR="009C575B" w:rsidRDefault="00737D20">
      <w:pPr>
        <w:pStyle w:val="Compact"/>
        <w:numPr>
          <w:ilvl w:val="0"/>
          <w:numId w:val="6"/>
        </w:numPr>
      </w:pPr>
      <w:r>
        <w:t>annotation layer - additional support information added based on visualisation designers preferences rather than according to mapping rules</w:t>
      </w:r>
    </w:p>
    <w:p w:rsidR="009C575B" w:rsidRDefault="00737D20">
      <w:pPr>
        <w:pStyle w:val="Heading1"/>
      </w:pPr>
      <w:bookmarkStart w:id="6" w:name="methods"/>
      <w:bookmarkEnd w:id="6"/>
      <w:r>
        <w:lastRenderedPageBreak/>
        <w:t>Meth</w:t>
      </w:r>
      <w:r>
        <w:t>ods</w:t>
      </w:r>
    </w:p>
    <w:p w:rsidR="009C575B" w:rsidRDefault="00737D20">
      <w:pPr>
        <w:pStyle w:val="Heading2"/>
      </w:pPr>
      <w:bookmarkStart w:id="7" w:name="the-data"/>
      <w:bookmarkEnd w:id="7"/>
      <w:r>
        <w:t>The data</w:t>
      </w:r>
    </w:p>
    <w:p w:rsidR="009C575B" w:rsidRDefault="00737D20">
      <w:r>
        <w:t>The data used in the examples presented here are produced by the Office for National Statistics in England and Wales and the National Records of Scotland. Population estimates are published at mid-year intervals using the cohort-component meth</w:t>
      </w:r>
      <w:r>
        <w:t>od, with the base as the decennial census. Births are added to and deaths subtracted from the rolled forward population using the Civil Registration System. Internal migration is estimated using National Health Service data, where a migrant registers a cha</w:t>
      </w:r>
      <w:r>
        <w:t>nge of address with their doctor. International migration is estimated using a sample survey of people entering and leaving via port or airport, with migrants being distributed sub-nationally based on their response to questions and a range of survey datas</w:t>
      </w:r>
      <w:r>
        <w:t>ets. While vital registration data are considered to be very complete (it being a legal requirement to register a birth or death), migration data are considered less complete, a subject of considerable attention: see Lomax et al. (2013) for discussion of i</w:t>
      </w:r>
      <w:r>
        <w:t>nternal migration and Stillwell et al. (2010) for international migration.</w:t>
      </w:r>
    </w:p>
    <w:p w:rsidR="009C575B" w:rsidRDefault="00737D20">
      <w:pPr>
        <w:pStyle w:val="Heading2"/>
      </w:pPr>
      <w:bookmarkStart w:id="8" w:name="data-preparation-and-tidying-possibly-ap"/>
      <w:bookmarkEnd w:id="8"/>
      <w:r>
        <w:t>Data preparation and tidying [possibly appendix]</w:t>
      </w:r>
    </w:p>
    <w:p w:rsidR="009C575B" w:rsidRDefault="00737D20">
      <w:pPr>
        <w:pStyle w:val="Compact"/>
        <w:numPr>
          <w:ilvl w:val="0"/>
          <w:numId w:val="9"/>
        </w:numPr>
      </w:pPr>
      <w:r>
        <w:t>The format the data is produced in</w:t>
      </w:r>
    </w:p>
    <w:p w:rsidR="009C575B" w:rsidRDefault="00737D20">
      <w:pPr>
        <w:pStyle w:val="Compact"/>
        <w:numPr>
          <w:ilvl w:val="0"/>
          <w:numId w:val="9"/>
        </w:numPr>
      </w:pPr>
      <w:r>
        <w:t>Tidied/rearranged format for effective data visualisation</w:t>
      </w:r>
    </w:p>
    <w:p w:rsidR="009C575B" w:rsidRDefault="00737D20">
      <w:pPr>
        <w:pStyle w:val="Heading1"/>
      </w:pPr>
      <w:bookmarkStart w:id="9" w:name="developing-a-visualisation-design"/>
      <w:bookmarkEnd w:id="9"/>
      <w:r>
        <w:t>Developing a visua</w:t>
      </w:r>
      <w:r>
        <w:t>lisation design</w:t>
      </w:r>
    </w:p>
    <w:p w:rsidR="009C575B" w:rsidRDefault="00737D20">
      <w:pPr>
        <w:pStyle w:val="Heading2"/>
      </w:pPr>
      <w:bookmarkStart w:id="10" w:name="conceptualisation-of-the-data"/>
      <w:bookmarkEnd w:id="10"/>
      <w:r>
        <w:t>Conceptualisation of the data</w:t>
      </w:r>
    </w:p>
    <w:p w:rsidR="009C575B" w:rsidRDefault="00737D20">
      <w:pPr>
        <w:pStyle w:val="Compact"/>
        <w:numPr>
          <w:ilvl w:val="0"/>
          <w:numId w:val="10"/>
        </w:numPr>
      </w:pPr>
      <w:r>
        <w:t>High age resolution - counts by single age</w:t>
      </w:r>
    </w:p>
    <w:p w:rsidR="009C575B" w:rsidRDefault="00737D20">
      <w:pPr>
        <w:pStyle w:val="Compact"/>
        <w:numPr>
          <w:ilvl w:val="0"/>
          <w:numId w:val="10"/>
        </w:numPr>
      </w:pPr>
      <w:r>
        <w:t>A histogram/barchart may appear too jagged given this, so a continuous polygon would be preferable</w:t>
      </w:r>
    </w:p>
    <w:p w:rsidR="009C575B" w:rsidRDefault="00737D20">
      <w:pPr>
        <w:pStyle w:val="Compact"/>
        <w:numPr>
          <w:ilvl w:val="0"/>
          <w:numId w:val="10"/>
        </w:numPr>
      </w:pPr>
      <w:r>
        <w:t>One of the axes should be age structure</w:t>
      </w:r>
    </w:p>
    <w:p w:rsidR="009C575B" w:rsidRDefault="00737D20">
      <w:pPr>
        <w:pStyle w:val="Compact"/>
        <w:numPr>
          <w:ilvl w:val="0"/>
          <w:numId w:val="10"/>
        </w:numPr>
      </w:pPr>
      <w:r>
        <w:t>best to use horizontal as we</w:t>
      </w:r>
      <w:r>
        <w:t xml:space="preserve"> want to imagine population counts to be a 'function of' the age,</w:t>
      </w:r>
    </w:p>
    <w:p w:rsidR="009C575B" w:rsidRDefault="00737D20">
      <w:pPr>
        <w:pStyle w:val="Compact"/>
        <w:numPr>
          <w:ilvl w:val="0"/>
          <w:numId w:val="10"/>
        </w:numPr>
      </w:pPr>
      <w:r>
        <w:t>Although population pyramids swap the axes</w:t>
      </w:r>
    </w:p>
    <w:p w:rsidR="009C575B" w:rsidRDefault="00737D20">
      <w:pPr>
        <w:pStyle w:val="Compact"/>
        <w:numPr>
          <w:ilvl w:val="0"/>
          <w:numId w:val="10"/>
        </w:numPr>
      </w:pPr>
      <w:r>
        <w:t>Need to be able to distinguish visually between internal and international migrations</w:t>
      </w:r>
    </w:p>
    <w:p w:rsidR="009C575B" w:rsidRDefault="00737D20">
      <w:pPr>
        <w:pStyle w:val="Compact"/>
        <w:numPr>
          <w:ilvl w:val="0"/>
          <w:numId w:val="10"/>
        </w:numPr>
      </w:pPr>
      <w:r>
        <w:t xml:space="preserve">People can't easily distinguish between shades that are very </w:t>
      </w:r>
      <w:r>
        <w:t>similar, but shades that are very different are easy to tell apart</w:t>
      </w:r>
    </w:p>
    <w:p w:rsidR="009C575B" w:rsidRDefault="00737D20">
      <w:pPr>
        <w:pStyle w:val="Compact"/>
        <w:numPr>
          <w:ilvl w:val="0"/>
          <w:numId w:val="10"/>
        </w:numPr>
      </w:pPr>
      <w:r>
        <w:t>light shades for internal migration, dark shades for international migration</w:t>
      </w:r>
    </w:p>
    <w:p w:rsidR="009C575B" w:rsidRDefault="00737D20">
      <w:pPr>
        <w:pStyle w:val="Compact"/>
        <w:numPr>
          <w:ilvl w:val="0"/>
          <w:numId w:val="10"/>
        </w:numPr>
      </w:pPr>
      <w:r>
        <w:t>Need to distinguish visually, and in an intuitive way, between in-migration and out-migration</w:t>
      </w:r>
    </w:p>
    <w:p w:rsidR="009C575B" w:rsidRDefault="00737D20">
      <w:pPr>
        <w:pStyle w:val="Compact"/>
        <w:numPr>
          <w:ilvl w:val="0"/>
          <w:numId w:val="10"/>
        </w:numPr>
      </w:pPr>
      <w:r>
        <w:t>Suggests we should</w:t>
      </w:r>
      <w:r>
        <w:t xml:space="preserve"> imagine in-migrations and out-migration as 'equal but opposite'</w:t>
      </w:r>
    </w:p>
    <w:p w:rsidR="009C575B" w:rsidRDefault="00737D20">
      <w:pPr>
        <w:pStyle w:val="Compact"/>
        <w:numPr>
          <w:ilvl w:val="0"/>
          <w:numId w:val="10"/>
        </w:numPr>
      </w:pPr>
      <w:r>
        <w:t>in migrations are above the zero line</w:t>
      </w:r>
    </w:p>
    <w:p w:rsidR="009C575B" w:rsidRDefault="00737D20">
      <w:pPr>
        <w:pStyle w:val="Compact"/>
        <w:numPr>
          <w:ilvl w:val="0"/>
          <w:numId w:val="10"/>
        </w:numPr>
      </w:pPr>
      <w:r>
        <w:t>out migrations are below the zero line</w:t>
      </w:r>
    </w:p>
    <w:p w:rsidR="009C575B" w:rsidRDefault="00737D20">
      <w:pPr>
        <w:pStyle w:val="Compact"/>
        <w:numPr>
          <w:ilvl w:val="0"/>
          <w:numId w:val="10"/>
        </w:numPr>
      </w:pPr>
      <w:r>
        <w:lastRenderedPageBreak/>
        <w:t>red and blue are generally considered 'equal but opposite' colours, suggesting these colours should be used</w:t>
      </w:r>
    </w:p>
    <w:p w:rsidR="009C575B" w:rsidRDefault="00737D20">
      <w:pPr>
        <w:pStyle w:val="Compact"/>
        <w:numPr>
          <w:ilvl w:val="0"/>
          <w:numId w:val="10"/>
        </w:numPr>
      </w:pPr>
      <w:r>
        <w:t>Overal</w:t>
      </w:r>
      <w:r>
        <w:t>l this defines four distinct colour/shading schemes to use to distinguish between these four variables</w:t>
      </w:r>
    </w:p>
    <w:p w:rsidR="009C575B" w:rsidRDefault="00737D20">
      <w:pPr>
        <w:pStyle w:val="Compact"/>
        <w:numPr>
          <w:ilvl w:val="0"/>
          <w:numId w:val="10"/>
        </w:numPr>
      </w:pPr>
      <w:r>
        <w:t>internal in-migration - light red</w:t>
      </w:r>
    </w:p>
    <w:p w:rsidR="009C575B" w:rsidRDefault="00737D20">
      <w:pPr>
        <w:pStyle w:val="Compact"/>
        <w:numPr>
          <w:ilvl w:val="0"/>
          <w:numId w:val="10"/>
        </w:numPr>
      </w:pPr>
      <w:r>
        <w:t>internal out-migration - light blue</w:t>
      </w:r>
    </w:p>
    <w:p w:rsidR="009C575B" w:rsidRDefault="00737D20">
      <w:pPr>
        <w:pStyle w:val="Compact"/>
        <w:numPr>
          <w:ilvl w:val="0"/>
          <w:numId w:val="10"/>
        </w:numPr>
      </w:pPr>
      <w:r>
        <w:t>international in-migration - dark red</w:t>
      </w:r>
    </w:p>
    <w:p w:rsidR="009C575B" w:rsidRDefault="00737D20">
      <w:pPr>
        <w:numPr>
          <w:ilvl w:val="0"/>
          <w:numId w:val="10"/>
        </w:numPr>
      </w:pPr>
      <w:r>
        <w:t>international out-migration - dark blue</w:t>
      </w:r>
    </w:p>
    <w:p w:rsidR="009C575B" w:rsidRDefault="00737D20">
      <w:pPr>
        <w:pStyle w:val="Compact"/>
        <w:numPr>
          <w:ilvl w:val="0"/>
          <w:numId w:val="10"/>
        </w:numPr>
      </w:pPr>
      <w:r>
        <w:t>Migration flows should be in context to overall population structure</w:t>
      </w:r>
    </w:p>
    <w:p w:rsidR="009C575B" w:rsidRDefault="00737D20">
      <w:pPr>
        <w:pStyle w:val="Compact"/>
        <w:numPr>
          <w:ilvl w:val="0"/>
          <w:numId w:val="10"/>
        </w:numPr>
      </w:pPr>
      <w:r>
        <w:t>But migration flows should be what draws the viewer's attention</w:t>
      </w:r>
    </w:p>
    <w:p w:rsidR="009C575B" w:rsidRDefault="00737D20">
      <w:pPr>
        <w:pStyle w:val="Compact"/>
        <w:numPr>
          <w:ilvl w:val="0"/>
          <w:numId w:val="10"/>
        </w:numPr>
      </w:pPr>
      <w:r>
        <w:t>population structure should appear 'as if' in the background, and migration flows 'as if' in the foreground</w:t>
      </w:r>
    </w:p>
    <w:p w:rsidR="009C575B" w:rsidRDefault="00737D20">
      <w:pPr>
        <w:numPr>
          <w:ilvl w:val="0"/>
          <w:numId w:val="10"/>
        </w:numPr>
      </w:pPr>
      <w:r>
        <w:t>Grey or neutral</w:t>
      </w:r>
      <w:r>
        <w:t xml:space="preserve"> colour for population structure</w:t>
      </w:r>
    </w:p>
    <w:p w:rsidR="009C575B" w:rsidRDefault="00737D20">
      <w:pPr>
        <w:pStyle w:val="Compact"/>
        <w:numPr>
          <w:ilvl w:val="0"/>
          <w:numId w:val="10"/>
        </w:numPr>
      </w:pPr>
      <w:r>
        <w:t>Gender</w:t>
      </w:r>
    </w:p>
    <w:p w:rsidR="009C575B" w:rsidRDefault="00737D20">
      <w:pPr>
        <w:pStyle w:val="Compact"/>
        <w:numPr>
          <w:ilvl w:val="0"/>
          <w:numId w:val="10"/>
        </w:numPr>
      </w:pPr>
      <w:r>
        <w:t>With a population pyramids males and females are presented as if 'equal and opposite', mirrors of each other, with one gender's age structure to the left of a vertical zero line, and the other to the right</w:t>
      </w:r>
    </w:p>
    <w:p w:rsidR="009C575B" w:rsidRDefault="00737D20">
      <w:pPr>
        <w:pStyle w:val="Compact"/>
        <w:numPr>
          <w:ilvl w:val="0"/>
          <w:numId w:val="10"/>
        </w:numPr>
      </w:pPr>
      <w:r>
        <w:t>But we are</w:t>
      </w:r>
      <w:r>
        <w:t xml:space="preserve"> already using the concept of 'equal but opposite' to represent the concepts of in-migration and out-migration, so we cannot map sex this way as well</w:t>
      </w:r>
    </w:p>
    <w:p w:rsidR="009C575B" w:rsidRDefault="00737D20">
      <w:pPr>
        <w:pStyle w:val="Compact"/>
        <w:numPr>
          <w:ilvl w:val="0"/>
          <w:numId w:val="10"/>
        </w:numPr>
      </w:pPr>
      <w:r>
        <w:t>And we are already presenting five variables - population structure, and four types of migration. Includin</w:t>
      </w:r>
      <w:r>
        <w:t>g gender would double this to ten variables, and make the image too complex</w:t>
      </w:r>
    </w:p>
    <w:p w:rsidR="009C575B" w:rsidRDefault="00737D20">
      <w:pPr>
        <w:pStyle w:val="Compact"/>
        <w:numPr>
          <w:ilvl w:val="0"/>
          <w:numId w:val="10"/>
        </w:numPr>
      </w:pPr>
      <w:r>
        <w:t>So we aggregate by sex</w:t>
      </w:r>
    </w:p>
    <w:p w:rsidR="009C575B" w:rsidRDefault="00737D20">
      <w:pPr>
        <w:pStyle w:val="Compact"/>
        <w:numPr>
          <w:ilvl w:val="0"/>
          <w:numId w:val="10"/>
        </w:numPr>
      </w:pPr>
      <w:r>
        <w:t>We are also interested in the contribution of migration flows to dependency ratios</w:t>
      </w:r>
    </w:p>
    <w:p w:rsidR="009C575B" w:rsidRDefault="00737D20">
      <w:pPr>
        <w:pStyle w:val="Compact"/>
        <w:numPr>
          <w:ilvl w:val="0"/>
          <w:numId w:val="10"/>
        </w:numPr>
      </w:pPr>
      <w:r>
        <w:t>this suggests we should add some kind of 'annotation layer' to distinguish</w:t>
      </w:r>
      <w:r>
        <w:t xml:space="preserve"> between working age and non-working age</w:t>
      </w:r>
    </w:p>
    <w:p w:rsidR="009C575B" w:rsidRDefault="00737D20">
      <w:pPr>
        <w:numPr>
          <w:ilvl w:val="0"/>
          <w:numId w:val="10"/>
        </w:numPr>
      </w:pPr>
      <w:r>
        <w:t>But we should not make this annotation layer overwhelm the data itself, implying a fairly neutral colour and transparancy</w:t>
      </w:r>
    </w:p>
    <w:p w:rsidR="009C575B" w:rsidRDefault="00737D20">
      <w:pPr>
        <w:pStyle w:val="Compact"/>
        <w:numPr>
          <w:ilvl w:val="0"/>
          <w:numId w:val="10"/>
        </w:numPr>
      </w:pPr>
      <w:r>
        <w:t>Year</w:t>
      </w:r>
    </w:p>
    <w:p w:rsidR="009C575B" w:rsidRDefault="00737D20">
      <w:pPr>
        <w:pStyle w:val="Compact"/>
        <w:numPr>
          <w:ilvl w:val="0"/>
          <w:numId w:val="10"/>
        </w:numPr>
      </w:pPr>
      <w:r>
        <w:t>We only have the years from 2002 onwards, a total of 12 years.</w:t>
      </w:r>
    </w:p>
    <w:p w:rsidR="009C575B" w:rsidRDefault="00737D20">
      <w:pPr>
        <w:pStyle w:val="Compact"/>
        <w:numPr>
          <w:ilvl w:val="0"/>
          <w:numId w:val="10"/>
        </w:numPr>
      </w:pPr>
      <w:r>
        <w:t>If we had to present many</w:t>
      </w:r>
      <w:r>
        <w:t xml:space="preserve"> more years, there would be benefits to Lexis surface visualisations</w:t>
      </w:r>
    </w:p>
    <w:p w:rsidR="009C575B" w:rsidRDefault="00737D20">
      <w:pPr>
        <w:numPr>
          <w:ilvl w:val="0"/>
          <w:numId w:val="10"/>
        </w:numPr>
      </w:pPr>
      <w:r>
        <w:t>But the relative sparseness of the number of years compared with the number of ages in single years means we can facet the years instead</w:t>
      </w:r>
    </w:p>
    <w:p w:rsidR="009C575B" w:rsidRDefault="00737D20">
      <w:pPr>
        <w:pStyle w:val="Compact"/>
        <w:numPr>
          <w:ilvl w:val="0"/>
          <w:numId w:val="10"/>
        </w:numPr>
      </w:pPr>
      <w:r>
        <w:t>Spatial aggregation/disaggregation</w:t>
      </w:r>
    </w:p>
    <w:p w:rsidR="009C575B" w:rsidRDefault="00737D20">
      <w:pPr>
        <w:pStyle w:val="Compact"/>
        <w:numPr>
          <w:ilvl w:val="0"/>
          <w:numId w:val="10"/>
        </w:numPr>
      </w:pPr>
      <w:r>
        <w:t>data are availa</w:t>
      </w:r>
      <w:r>
        <w:t>ble by local authority</w:t>
      </w:r>
    </w:p>
    <w:p w:rsidR="009C575B" w:rsidRDefault="00737D20">
      <w:pPr>
        <w:pStyle w:val="Compact"/>
        <w:numPr>
          <w:ilvl w:val="0"/>
          <w:numId w:val="10"/>
        </w:numPr>
      </w:pPr>
      <w:r>
        <w:t>But population counts and migrant counts by age in single years is sparse at this level</w:t>
      </w:r>
    </w:p>
    <w:p w:rsidR="009C575B" w:rsidRDefault="00737D20">
      <w:pPr>
        <w:pStyle w:val="Compact"/>
        <w:numPr>
          <w:ilvl w:val="0"/>
          <w:numId w:val="10"/>
        </w:numPr>
      </w:pPr>
      <w:r>
        <w:lastRenderedPageBreak/>
        <w:t>So we aggregate population counts up to regions so that all counts are sufficiently large</w:t>
      </w:r>
    </w:p>
    <w:p w:rsidR="009C575B" w:rsidRDefault="00737D20">
      <w:pPr>
        <w:pStyle w:val="Compact"/>
        <w:numPr>
          <w:ilvl w:val="0"/>
          <w:numId w:val="10"/>
        </w:numPr>
      </w:pPr>
      <w:r>
        <w:t>Including Scotland and Wales as if they are regions, we</w:t>
      </w:r>
      <w:r>
        <w:t xml:space="preserve"> have a total of 11 regions</w:t>
      </w:r>
    </w:p>
    <w:p w:rsidR="009C575B" w:rsidRDefault="00737D20">
      <w:pPr>
        <w:numPr>
          <w:ilvl w:val="0"/>
          <w:numId w:val="10"/>
        </w:numPr>
      </w:pPr>
      <w:r>
        <w:t>This is just about small enough that we can facet by region</w:t>
      </w:r>
    </w:p>
    <w:p w:rsidR="009C575B" w:rsidRDefault="00737D20">
      <w:pPr>
        <w:pStyle w:val="Compact"/>
        <w:numPr>
          <w:ilvl w:val="0"/>
          <w:numId w:val="10"/>
        </w:numPr>
      </w:pPr>
      <w:r>
        <w:t>Choice of faceting</w:t>
      </w:r>
    </w:p>
    <w:p w:rsidR="009C575B" w:rsidRDefault="00737D20">
      <w:pPr>
        <w:pStyle w:val="Compact"/>
        <w:numPr>
          <w:ilvl w:val="0"/>
          <w:numId w:val="10"/>
        </w:numPr>
      </w:pPr>
      <w:r>
        <w:t>Faceting is having a series of small figures embedded in a table, which has two axes (columns and rows)</w:t>
      </w:r>
    </w:p>
    <w:p w:rsidR="009C575B" w:rsidRDefault="00737D20">
      <w:pPr>
        <w:pStyle w:val="Compact"/>
        <w:numPr>
          <w:ilvl w:val="0"/>
          <w:numId w:val="10"/>
        </w:numPr>
      </w:pPr>
      <w:r>
        <w:t>One of the axes is year; the other is region</w:t>
      </w:r>
    </w:p>
    <w:p w:rsidR="009C575B" w:rsidRDefault="00737D20">
      <w:pPr>
        <w:pStyle w:val="Compact"/>
        <w:numPr>
          <w:ilvl w:val="0"/>
          <w:numId w:val="10"/>
        </w:numPr>
      </w:pPr>
      <w:r>
        <w:t>Time is naturally thought (in Western cultures) to 'move' from left to right, so that implies that the columns should be year</w:t>
      </w:r>
    </w:p>
    <w:p w:rsidR="009C575B" w:rsidRDefault="00737D20">
      <w:pPr>
        <w:pStyle w:val="Compact"/>
        <w:numPr>
          <w:ilvl w:val="0"/>
          <w:numId w:val="10"/>
        </w:numPr>
      </w:pPr>
      <w:r>
        <w:t>That means that the rows of the facets should be regions</w:t>
      </w:r>
    </w:p>
    <w:p w:rsidR="009C575B" w:rsidRDefault="00737D20">
      <w:pPr>
        <w:numPr>
          <w:ilvl w:val="0"/>
          <w:numId w:val="10"/>
        </w:numPr>
      </w:pPr>
      <w:r>
        <w:t>We choose to organise the rows in a non-arbitrary way, from largest to sm</w:t>
      </w:r>
      <w:r>
        <w:t>allest overall population size, in order to help users determine if overall population size is also related to relative population structure by age (i.e. implicitly we can present slightly more information using the same physical space)</w:t>
      </w:r>
    </w:p>
    <w:p w:rsidR="009C575B" w:rsidRDefault="00737D20">
      <w:pPr>
        <w:pStyle w:val="Heading2"/>
      </w:pPr>
      <w:bookmarkStart w:id="11" w:name="simple-illustration-of-final-visual-desi"/>
      <w:bookmarkEnd w:id="11"/>
      <w:r>
        <w:t>Simple illustration of final visual design used</w:t>
      </w:r>
    </w:p>
    <w:p w:rsidR="009C575B" w:rsidRDefault="00737D20">
      <w:pPr>
        <w:pStyle w:val="Compact"/>
        <w:numPr>
          <w:ilvl w:val="0"/>
          <w:numId w:val="11"/>
        </w:numPr>
      </w:pPr>
      <w:r>
        <w:t>Small figure annotated to point out the different features</w:t>
      </w:r>
    </w:p>
    <w:p w:rsidR="009C575B" w:rsidRDefault="00737D20">
      <w:pPr>
        <w:pStyle w:val="Heading1"/>
      </w:pPr>
      <w:bookmarkStart w:id="12" w:name="results"/>
      <w:bookmarkEnd w:id="12"/>
      <w:r>
        <w:t>Results</w:t>
      </w:r>
    </w:p>
    <w:p w:rsidR="009C575B" w:rsidRDefault="00737D20">
      <w:r>
        <w:rPr>
          <w:noProof/>
          <w:lang w:val="en-GB" w:eastAsia="en-GB"/>
        </w:rPr>
        <w:drawing>
          <wp:inline distT="0" distB="0" distL="0" distR="0">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JonMinton/uk_migrant_demography/blob/master/figures/regions/uk_inflow_outflow_context.png"/>
                    <pic:cNvPicPr>
                      <a:picLocks noChangeAspect="1" noChangeArrowheads="1"/>
                    </pic:cNvPicPr>
                  </pic:nvPicPr>
                  <pic:blipFill>
                    <a:blip r:embed="rId5" cstate="print"/>
                    <a:stretch>
                      <a:fillRect/>
                    </a:stretch>
                  </pic:blipFill>
                  <pic:spPr bwMode="auto">
                    <a:xfrm>
                      <a:off x="0" y="0"/>
                      <a:ext cx="1524000" cy="1524000"/>
                    </a:xfrm>
                    <a:prstGeom prst="rect">
                      <a:avLst/>
                    </a:prstGeom>
                    <a:noFill/>
                    <a:ln w="9525">
                      <a:noFill/>
                      <a:headEnd/>
                      <a:tailEnd/>
                    </a:ln>
                  </pic:spPr>
                </pic:pic>
              </a:graphicData>
            </a:graphic>
          </wp:inline>
        </w:drawing>
      </w:r>
    </w:p>
    <w:p w:rsidR="009C575B" w:rsidRDefault="00737D20">
      <w:pPr>
        <w:pStyle w:val="Compact"/>
        <w:numPr>
          <w:ilvl w:val="0"/>
          <w:numId w:val="12"/>
        </w:numPr>
      </w:pPr>
      <w:r>
        <w:t>Present the figure but strongly encourage people to print this out at A3 or larger size.</w:t>
      </w:r>
    </w:p>
    <w:p w:rsidR="009C575B" w:rsidRDefault="00737D20">
      <w:pPr>
        <w:pStyle w:val="Heading2"/>
      </w:pPr>
      <w:bookmarkStart w:id="13" w:name="london-and-the-rest"/>
      <w:bookmarkEnd w:id="13"/>
      <w:r>
        <w:t>London and the rest</w:t>
      </w:r>
    </w:p>
    <w:p w:rsidR="009C575B" w:rsidRDefault="00737D20">
      <w:pPr>
        <w:pStyle w:val="Compact"/>
        <w:numPr>
          <w:ilvl w:val="0"/>
          <w:numId w:val="13"/>
        </w:numPr>
      </w:pPr>
      <w:r>
        <w:t>Exposure to international migr</w:t>
      </w:r>
      <w:r>
        <w:t>ation makes it different to other regions</w:t>
      </w:r>
    </w:p>
    <w:p w:rsidR="009C575B" w:rsidRDefault="00737D20">
      <w:pPr>
        <w:pStyle w:val="Compact"/>
        <w:numPr>
          <w:ilvl w:val="0"/>
          <w:numId w:val="13"/>
        </w:numPr>
      </w:pPr>
      <w:r>
        <w:t>There is a clear dependency /relationship between London and the South East, and South West, which we would expect given proximity. But we can also see evidence of people moving out from the former to the latter as</w:t>
      </w:r>
      <w:r>
        <w:t xml:space="preserve"> they age - suburbanisation effect</w:t>
      </w:r>
    </w:p>
    <w:p w:rsidR="009C575B" w:rsidRDefault="00737D20">
      <w:pPr>
        <w:pStyle w:val="Heading2"/>
      </w:pPr>
      <w:bookmarkStart w:id="14" w:name="universities"/>
      <w:bookmarkEnd w:id="14"/>
      <w:r>
        <w:t>Universities</w:t>
      </w:r>
    </w:p>
    <w:p w:rsidR="009C575B" w:rsidRDefault="00737D20">
      <w:pPr>
        <w:pStyle w:val="Compact"/>
        <w:numPr>
          <w:ilvl w:val="0"/>
          <w:numId w:val="14"/>
        </w:numPr>
      </w:pPr>
      <w:r>
        <w:t>We can see sudden spikes inwards at age 18 and outwards around 21-22</w:t>
      </w:r>
    </w:p>
    <w:p w:rsidR="009C575B" w:rsidRDefault="00737D20">
      <w:pPr>
        <w:pStyle w:val="Heading2"/>
      </w:pPr>
      <w:bookmarkStart w:id="15" w:name="ageing-regions"/>
      <w:bookmarkEnd w:id="15"/>
      <w:r>
        <w:lastRenderedPageBreak/>
        <w:t>Ageing regions</w:t>
      </w:r>
    </w:p>
    <w:p w:rsidR="009C575B" w:rsidRDefault="00737D20">
      <w:pPr>
        <w:pStyle w:val="Compact"/>
        <w:numPr>
          <w:ilvl w:val="0"/>
          <w:numId w:val="15"/>
        </w:numPr>
      </w:pPr>
      <w:r>
        <w:t>'The North' compared with 'the south'</w:t>
      </w:r>
    </w:p>
    <w:p w:rsidR="009C575B" w:rsidRDefault="00737D20">
      <w:pPr>
        <w:pStyle w:val="Compact"/>
        <w:numPr>
          <w:ilvl w:val="0"/>
          <w:numId w:val="15"/>
        </w:numPr>
      </w:pPr>
      <w:r>
        <w:t>The transition of the baby boomers from before to after retirement age</w:t>
      </w:r>
    </w:p>
    <w:p w:rsidR="009C575B" w:rsidRDefault="00737D20">
      <w:pPr>
        <w:pStyle w:val="Heading2"/>
      </w:pPr>
      <w:bookmarkStart w:id="16" w:name="scotland-and-wales-as-regions"/>
      <w:bookmarkEnd w:id="16"/>
      <w:r>
        <w:t>Scotland and Wa</w:t>
      </w:r>
      <w:r>
        <w:t>les as 'regions'</w:t>
      </w:r>
    </w:p>
    <w:p w:rsidR="009C575B" w:rsidRDefault="00737D20">
      <w:pPr>
        <w:pStyle w:val="Compact"/>
        <w:numPr>
          <w:ilvl w:val="0"/>
          <w:numId w:val="16"/>
        </w:numPr>
      </w:pPr>
      <w:r>
        <w:t>Similarities to regions in 'The North'</w:t>
      </w:r>
    </w:p>
    <w:p w:rsidR="009C575B" w:rsidRDefault="00737D20">
      <w:pPr>
        <w:pStyle w:val="Compact"/>
        <w:numPr>
          <w:ilvl w:val="0"/>
          <w:numId w:val="16"/>
        </w:numPr>
      </w:pPr>
      <w:r>
        <w:t>Differences from regions in 'The North</w:t>
      </w:r>
    </w:p>
    <w:p w:rsidR="009C575B" w:rsidRDefault="00737D20">
      <w:pPr>
        <w:pStyle w:val="Heading1"/>
      </w:pPr>
      <w:bookmarkStart w:id="17" w:name="discussion"/>
      <w:bookmarkEnd w:id="17"/>
      <w:r>
        <w:t>Discussion</w:t>
      </w:r>
    </w:p>
    <w:p w:rsidR="009C575B" w:rsidRDefault="00737D20">
      <w:pPr>
        <w:pStyle w:val="Heading2"/>
      </w:pPr>
      <w:bookmarkStart w:id="18" w:name="summary"/>
      <w:bookmarkEnd w:id="18"/>
      <w:r>
        <w:t>Summary</w:t>
      </w:r>
    </w:p>
    <w:p w:rsidR="009C575B" w:rsidRDefault="00737D20">
      <w:pPr>
        <w:pStyle w:val="Heading2"/>
      </w:pPr>
      <w:bookmarkStart w:id="19" w:name="comparison-with-existing-findings"/>
      <w:bookmarkEnd w:id="19"/>
      <w:r>
        <w:t>Comparison with existing findings</w:t>
      </w:r>
    </w:p>
    <w:p w:rsidR="009C575B" w:rsidRDefault="00737D20">
      <w:pPr>
        <w:pStyle w:val="Heading2"/>
      </w:pPr>
      <w:bookmarkStart w:id="20" w:name="benefits-of-rapid-comparison"/>
      <w:bookmarkEnd w:id="20"/>
      <w:r>
        <w:t>Benefits of rapid comparison</w:t>
      </w:r>
    </w:p>
    <w:p w:rsidR="009C575B" w:rsidRDefault="00737D20">
      <w:pPr>
        <w:pStyle w:val="Compact"/>
        <w:numPr>
          <w:ilvl w:val="0"/>
          <w:numId w:val="17"/>
        </w:numPr>
      </w:pPr>
      <w:r>
        <w:t>Humans as experts at pattern recognition</w:t>
      </w:r>
    </w:p>
    <w:p w:rsidR="009C575B" w:rsidRDefault="00737D20">
      <w:pPr>
        <w:pStyle w:val="Compact"/>
        <w:numPr>
          <w:ilvl w:val="0"/>
          <w:numId w:val="17"/>
        </w:numPr>
      </w:pPr>
      <w:r>
        <w:t>importance of data vis for adding valu</w:t>
      </w:r>
      <w:r>
        <w:t>e to existing data</w:t>
      </w:r>
    </w:p>
    <w:p w:rsidR="009C575B" w:rsidRDefault="00737D20">
      <w:pPr>
        <w:pStyle w:val="Compact"/>
        <w:numPr>
          <w:ilvl w:val="0"/>
          <w:numId w:val="17"/>
        </w:numPr>
      </w:pPr>
      <w:r>
        <w:t>importance of understanding these complex patterns for making correct regional planning decisions</w:t>
      </w:r>
    </w:p>
    <w:p w:rsidR="009C575B" w:rsidRDefault="00737D20">
      <w:pPr>
        <w:pStyle w:val="Heading2"/>
      </w:pPr>
      <w:bookmarkStart w:id="21" w:name="further-research"/>
      <w:bookmarkEnd w:id="21"/>
      <w:r>
        <w:t>Further research</w:t>
      </w:r>
    </w:p>
    <w:p w:rsidR="009C575B" w:rsidRDefault="00737D20">
      <w:pPr>
        <w:pStyle w:val="Compact"/>
        <w:numPr>
          <w:ilvl w:val="0"/>
          <w:numId w:val="18"/>
        </w:numPr>
      </w:pPr>
      <w:r>
        <w:t>Applicability of the code developed here to other migration and population count data</w:t>
      </w:r>
    </w:p>
    <w:p w:rsidR="009C575B" w:rsidRDefault="00737D20">
      <w:pPr>
        <w:pStyle w:val="Compact"/>
        <w:numPr>
          <w:ilvl w:val="0"/>
          <w:numId w:val="18"/>
        </w:numPr>
      </w:pPr>
      <w:r>
        <w:t>Examples of other datasets that could be used</w:t>
      </w:r>
    </w:p>
    <w:p w:rsidR="009C575B" w:rsidRDefault="00737D20">
      <w:pPr>
        <w:pStyle w:val="Compact"/>
        <w:numPr>
          <w:ilvl w:val="0"/>
          <w:numId w:val="18"/>
        </w:numPr>
      </w:pPr>
      <w:r>
        <w:t>reproducibility of code and re-usability of code to other data</w:t>
      </w:r>
    </w:p>
    <w:p w:rsidR="009C575B" w:rsidRDefault="00737D20">
      <w:pPr>
        <w:pStyle w:val="Compact"/>
        <w:numPr>
          <w:ilvl w:val="0"/>
          <w:numId w:val="18"/>
        </w:numPr>
      </w:pPr>
      <w:r>
        <w:t>Applicability of general data visualisation and visual design principles for thinking about how best to represent extant datasets</w:t>
      </w:r>
    </w:p>
    <w:p w:rsidR="009C575B" w:rsidRDefault="00737D20">
      <w:pPr>
        <w:pStyle w:val="Heading1"/>
      </w:pPr>
      <w:bookmarkStart w:id="22" w:name="references"/>
      <w:bookmarkEnd w:id="22"/>
      <w:r>
        <w:t>References</w:t>
      </w:r>
    </w:p>
    <w:p w:rsidR="009C575B" w:rsidRDefault="00737D20">
      <w:r>
        <w:t>Lomax,</w:t>
      </w:r>
      <w:r>
        <w:t xml:space="preserve"> N., Norman, P., Rees, P. and Stillwell, J. (2013) Subnational migration in the United Kingdom: producing a consistent time series using a combination of available data and estimates. Journal of Population Research 30(3): 265-288. DOI 10.1007/s12546-013-91</w:t>
      </w:r>
      <w:r>
        <w:t>15-z.</w:t>
      </w:r>
      <w:hyperlink r:id="rId6">
        <w:r>
          <w:rPr>
            <w:rStyle w:val="Link"/>
          </w:rPr>
          <w:t>http://link.springer.com/article/10.1007%2Fs12546-013-9115-z</w:t>
        </w:r>
      </w:hyperlink>
    </w:p>
    <w:p w:rsidR="009C575B" w:rsidRDefault="00737D20">
      <w:r>
        <w:t xml:space="preserve">Stillwell, J., Duke-Williams, O. and Dennett, A. (2010) Interaction data: definitions, concepts and sources. In </w:t>
      </w:r>
      <w:r>
        <w:t>Stillwell, J., Duke-Williams, O. and Dennett, A., eds. Technologies for migration and commuting analysis: spatial interaction data applications. New York: IGI Global, pp.1-30.</w:t>
      </w:r>
    </w:p>
    <w:sectPr w:rsidR="009C575B" w:rsidSect="009C575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3E2A3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AD5BF9"/>
    <w:multiLevelType w:val="multilevel"/>
    <w:tmpl w:val="9FA04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C6DBC6E"/>
    <w:multiLevelType w:val="multilevel"/>
    <w:tmpl w:val="E29297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4E29B3"/>
    <w:rsid w:val="00590D07"/>
    <w:rsid w:val="00622B52"/>
    <w:rsid w:val="00737D20"/>
    <w:rsid w:val="00784D58"/>
    <w:rsid w:val="008D6863"/>
    <w:rsid w:val="009C575B"/>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9C575B"/>
    <w:pPr>
      <w:spacing w:before="180" w:after="180"/>
    </w:pPr>
  </w:style>
  <w:style w:type="paragraph" w:styleId="Heading1">
    <w:name w:val="heading 1"/>
    <w:basedOn w:val="Normal"/>
    <w:next w:val="Normal"/>
    <w:uiPriority w:val="9"/>
    <w:qFormat/>
    <w:rsid w:val="009C575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C575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C575B"/>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9C575B"/>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C575B"/>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C575B"/>
    <w:pPr>
      <w:spacing w:before="36" w:after="36"/>
    </w:pPr>
  </w:style>
  <w:style w:type="paragraph" w:styleId="Title">
    <w:name w:val="Title"/>
    <w:basedOn w:val="Normal"/>
    <w:next w:val="Normal"/>
    <w:qFormat/>
    <w:rsid w:val="009C575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9C575B"/>
    <w:pPr>
      <w:spacing w:before="240"/>
    </w:pPr>
    <w:rPr>
      <w:sz w:val="30"/>
      <w:szCs w:val="30"/>
    </w:rPr>
  </w:style>
  <w:style w:type="paragraph" w:customStyle="1" w:styleId="Author">
    <w:name w:val="Author"/>
    <w:next w:val="Normal"/>
    <w:qFormat/>
    <w:rsid w:val="009C575B"/>
    <w:pPr>
      <w:keepNext/>
      <w:keepLines/>
      <w:jc w:val="center"/>
    </w:pPr>
  </w:style>
  <w:style w:type="paragraph" w:styleId="Date">
    <w:name w:val="Date"/>
    <w:next w:val="Normal"/>
    <w:qFormat/>
    <w:rsid w:val="009C575B"/>
    <w:pPr>
      <w:keepNext/>
      <w:keepLines/>
      <w:jc w:val="center"/>
    </w:pPr>
  </w:style>
  <w:style w:type="paragraph" w:customStyle="1" w:styleId="Abstract">
    <w:name w:val="Abstract"/>
    <w:basedOn w:val="Normal"/>
    <w:next w:val="Normal"/>
    <w:qFormat/>
    <w:rsid w:val="009C575B"/>
    <w:pPr>
      <w:keepNext/>
      <w:keepLines/>
      <w:spacing w:before="300" w:after="300"/>
    </w:pPr>
    <w:rPr>
      <w:sz w:val="20"/>
      <w:szCs w:val="20"/>
    </w:rPr>
  </w:style>
  <w:style w:type="paragraph" w:styleId="Bibliography">
    <w:name w:val="Bibliography"/>
    <w:basedOn w:val="Normal"/>
    <w:qFormat/>
    <w:rsid w:val="009C575B"/>
  </w:style>
  <w:style w:type="paragraph" w:customStyle="1" w:styleId="BlockQuote">
    <w:name w:val="Block Quote"/>
    <w:basedOn w:val="Normal"/>
    <w:next w:val="Normal"/>
    <w:uiPriority w:val="9"/>
    <w:unhideWhenUsed/>
    <w:qFormat/>
    <w:rsid w:val="009C575B"/>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C575B"/>
  </w:style>
  <w:style w:type="paragraph" w:customStyle="1" w:styleId="DefinitionTerm">
    <w:name w:val="Definition Term"/>
    <w:basedOn w:val="Normal"/>
    <w:next w:val="Definition"/>
    <w:rsid w:val="009C575B"/>
    <w:pPr>
      <w:keepNext/>
      <w:keepLines/>
      <w:spacing w:after="0"/>
    </w:pPr>
    <w:rPr>
      <w:b/>
    </w:rPr>
  </w:style>
  <w:style w:type="paragraph" w:customStyle="1" w:styleId="Definition">
    <w:name w:val="Definition"/>
    <w:basedOn w:val="Normal"/>
    <w:rsid w:val="009C575B"/>
  </w:style>
  <w:style w:type="paragraph" w:styleId="BodyText">
    <w:name w:val="Body Text"/>
    <w:basedOn w:val="Normal"/>
    <w:link w:val="BodyTextChar"/>
    <w:rsid w:val="009C575B"/>
    <w:pPr>
      <w:spacing w:after="120"/>
    </w:pPr>
  </w:style>
  <w:style w:type="paragraph" w:customStyle="1" w:styleId="TableCaption">
    <w:name w:val="Table Caption"/>
    <w:basedOn w:val="Normal"/>
    <w:link w:val="BodyTextChar"/>
    <w:rsid w:val="009C575B"/>
    <w:pPr>
      <w:spacing w:before="0" w:after="120"/>
    </w:pPr>
    <w:rPr>
      <w:i/>
    </w:rPr>
  </w:style>
  <w:style w:type="paragraph" w:customStyle="1" w:styleId="ImageCaption">
    <w:name w:val="Image Caption"/>
    <w:basedOn w:val="Normal"/>
    <w:link w:val="BodyTextChar"/>
    <w:rsid w:val="009C575B"/>
    <w:pPr>
      <w:spacing w:before="0" w:after="120"/>
    </w:pPr>
    <w:rPr>
      <w:i/>
    </w:rPr>
  </w:style>
  <w:style w:type="character" w:customStyle="1" w:styleId="BodyTextChar">
    <w:name w:val="Body Text Char"/>
    <w:basedOn w:val="DefaultParagraphFont"/>
    <w:link w:val="ImageCaption"/>
    <w:rsid w:val="009C575B"/>
  </w:style>
  <w:style w:type="character" w:customStyle="1" w:styleId="VerbatimChar">
    <w:name w:val="Verbatim Char"/>
    <w:basedOn w:val="BodyTextChar"/>
    <w:link w:val="SourceCode"/>
    <w:rsid w:val="009C575B"/>
    <w:rPr>
      <w:rFonts w:ascii="Consolas" w:hAnsi="Consolas"/>
      <w:sz w:val="22"/>
    </w:rPr>
  </w:style>
  <w:style w:type="character" w:customStyle="1" w:styleId="FootnoteRef">
    <w:name w:val="Footnote Ref"/>
    <w:basedOn w:val="BodyTextChar"/>
    <w:rsid w:val="009C575B"/>
    <w:rPr>
      <w:vertAlign w:val="superscript"/>
    </w:rPr>
  </w:style>
  <w:style w:type="character" w:customStyle="1" w:styleId="Link">
    <w:name w:val="Link"/>
    <w:basedOn w:val="BodyTextChar"/>
    <w:rsid w:val="009C575B"/>
    <w:rPr>
      <w:color w:val="4F81BD" w:themeColor="accent1"/>
    </w:rPr>
  </w:style>
  <w:style w:type="paragraph" w:customStyle="1" w:styleId="SourceCode0">
    <w:name w:val="Source Code"/>
    <w:basedOn w:val="Normal"/>
    <w:link w:val="VerbatimChar"/>
    <w:rsid w:val="009C575B"/>
    <w:pPr>
      <w:wordWrap w:val="0"/>
    </w:pPr>
  </w:style>
  <w:style w:type="character" w:customStyle="1" w:styleId="KeywordTok">
    <w:name w:val="KeywordTok"/>
    <w:basedOn w:val="VerbatimChar"/>
    <w:rsid w:val="009C575B"/>
    <w:rPr>
      <w:b/>
      <w:color w:val="007020"/>
    </w:rPr>
  </w:style>
  <w:style w:type="character" w:customStyle="1" w:styleId="DataTypeTok">
    <w:name w:val="DataTypeTok"/>
    <w:basedOn w:val="VerbatimChar"/>
    <w:rsid w:val="009C575B"/>
    <w:rPr>
      <w:color w:val="902000"/>
    </w:rPr>
  </w:style>
  <w:style w:type="character" w:customStyle="1" w:styleId="DecValTok">
    <w:name w:val="DecValTok"/>
    <w:basedOn w:val="VerbatimChar"/>
    <w:rsid w:val="009C575B"/>
    <w:rPr>
      <w:color w:val="40A070"/>
    </w:rPr>
  </w:style>
  <w:style w:type="character" w:customStyle="1" w:styleId="BaseNTok">
    <w:name w:val="BaseNTok"/>
    <w:basedOn w:val="VerbatimChar"/>
    <w:rsid w:val="009C575B"/>
    <w:rPr>
      <w:color w:val="40A070"/>
    </w:rPr>
  </w:style>
  <w:style w:type="character" w:customStyle="1" w:styleId="FloatTok">
    <w:name w:val="FloatTok"/>
    <w:basedOn w:val="VerbatimChar"/>
    <w:rsid w:val="009C575B"/>
    <w:rPr>
      <w:color w:val="40A070"/>
    </w:rPr>
  </w:style>
  <w:style w:type="character" w:customStyle="1" w:styleId="CharTok">
    <w:name w:val="CharTok"/>
    <w:basedOn w:val="VerbatimChar"/>
    <w:rsid w:val="009C575B"/>
    <w:rPr>
      <w:color w:val="4070A0"/>
    </w:rPr>
  </w:style>
  <w:style w:type="character" w:customStyle="1" w:styleId="StringTok">
    <w:name w:val="StringTok"/>
    <w:basedOn w:val="VerbatimChar"/>
    <w:rsid w:val="009C575B"/>
    <w:rPr>
      <w:color w:val="4070A0"/>
    </w:rPr>
  </w:style>
  <w:style w:type="character" w:customStyle="1" w:styleId="CommentTok">
    <w:name w:val="CommentTok"/>
    <w:basedOn w:val="VerbatimChar"/>
    <w:rsid w:val="009C575B"/>
    <w:rPr>
      <w:i/>
      <w:color w:val="60A0B0"/>
    </w:rPr>
  </w:style>
  <w:style w:type="character" w:customStyle="1" w:styleId="OtherTok">
    <w:name w:val="OtherTok"/>
    <w:basedOn w:val="VerbatimChar"/>
    <w:rsid w:val="009C575B"/>
    <w:rPr>
      <w:color w:val="007020"/>
    </w:rPr>
  </w:style>
  <w:style w:type="character" w:customStyle="1" w:styleId="AlertTok">
    <w:name w:val="AlertTok"/>
    <w:basedOn w:val="VerbatimChar"/>
    <w:rsid w:val="009C575B"/>
    <w:rPr>
      <w:b/>
      <w:color w:val="FF0000"/>
    </w:rPr>
  </w:style>
  <w:style w:type="character" w:customStyle="1" w:styleId="FunctionTok">
    <w:name w:val="FunctionTok"/>
    <w:basedOn w:val="VerbatimChar"/>
    <w:rsid w:val="009C575B"/>
    <w:rPr>
      <w:color w:val="06287E"/>
    </w:rPr>
  </w:style>
  <w:style w:type="character" w:customStyle="1" w:styleId="RegionMarkerTok">
    <w:name w:val="RegionMarkerTok"/>
    <w:basedOn w:val="VerbatimChar"/>
    <w:rsid w:val="009C575B"/>
  </w:style>
  <w:style w:type="character" w:customStyle="1" w:styleId="ErrorTok">
    <w:name w:val="ErrorTok"/>
    <w:basedOn w:val="VerbatimChar"/>
    <w:rsid w:val="009C575B"/>
    <w:rPr>
      <w:b/>
      <w:color w:val="FF0000"/>
    </w:rPr>
  </w:style>
  <w:style w:type="character" w:customStyle="1" w:styleId="NormalTok">
    <w:name w:val="NormalTok"/>
    <w:basedOn w:val="VerbatimChar"/>
    <w:rsid w:val="009C575B"/>
  </w:style>
  <w:style w:type="paragraph" w:customStyle="1" w:styleId="SourceCode">
    <w:name w:val="Source Code"/>
    <w:basedOn w:val="Normal"/>
    <w:link w:val="VerbatimChar"/>
    <w:rsid w:val="009C575B"/>
    <w:pPr>
      <w:shd w:val="clear" w:color="auto" w:fill="F8F8F8"/>
      <w:wordWrap w:val="0"/>
    </w:pPr>
  </w:style>
  <w:style w:type="character" w:customStyle="1" w:styleId="KeywordTok0">
    <w:name w:val="KeywordTok"/>
    <w:basedOn w:val="VerbatimChar"/>
    <w:rsid w:val="009C575B"/>
    <w:rPr>
      <w:b/>
      <w:color w:val="204A87"/>
      <w:shd w:val="clear" w:color="auto" w:fill="F8F8F8"/>
    </w:rPr>
  </w:style>
  <w:style w:type="character" w:customStyle="1" w:styleId="DataTypeTok0">
    <w:name w:val="DataTypeTok"/>
    <w:basedOn w:val="VerbatimChar"/>
    <w:rsid w:val="009C575B"/>
    <w:rPr>
      <w:color w:val="204A87"/>
      <w:shd w:val="clear" w:color="auto" w:fill="F8F8F8"/>
    </w:rPr>
  </w:style>
  <w:style w:type="character" w:customStyle="1" w:styleId="DecValTok0">
    <w:name w:val="DecValTok"/>
    <w:basedOn w:val="VerbatimChar"/>
    <w:rsid w:val="009C575B"/>
    <w:rPr>
      <w:color w:val="0000CF"/>
      <w:shd w:val="clear" w:color="auto" w:fill="F8F8F8"/>
    </w:rPr>
  </w:style>
  <w:style w:type="character" w:customStyle="1" w:styleId="BaseNTok0">
    <w:name w:val="BaseNTok"/>
    <w:basedOn w:val="VerbatimChar"/>
    <w:rsid w:val="009C575B"/>
    <w:rPr>
      <w:color w:val="0000CF"/>
      <w:shd w:val="clear" w:color="auto" w:fill="F8F8F8"/>
    </w:rPr>
  </w:style>
  <w:style w:type="character" w:customStyle="1" w:styleId="FloatTok0">
    <w:name w:val="FloatTok"/>
    <w:basedOn w:val="VerbatimChar"/>
    <w:rsid w:val="009C575B"/>
    <w:rPr>
      <w:color w:val="0000CF"/>
      <w:shd w:val="clear" w:color="auto" w:fill="F8F8F8"/>
    </w:rPr>
  </w:style>
  <w:style w:type="character" w:customStyle="1" w:styleId="CharTok0">
    <w:name w:val="CharTok"/>
    <w:basedOn w:val="VerbatimChar"/>
    <w:rsid w:val="009C575B"/>
    <w:rPr>
      <w:color w:val="4E9A06"/>
      <w:shd w:val="clear" w:color="auto" w:fill="F8F8F8"/>
    </w:rPr>
  </w:style>
  <w:style w:type="character" w:customStyle="1" w:styleId="StringTok0">
    <w:name w:val="StringTok"/>
    <w:basedOn w:val="VerbatimChar"/>
    <w:rsid w:val="009C575B"/>
    <w:rPr>
      <w:color w:val="4E9A06"/>
      <w:shd w:val="clear" w:color="auto" w:fill="F8F8F8"/>
    </w:rPr>
  </w:style>
  <w:style w:type="character" w:customStyle="1" w:styleId="CommentTok0">
    <w:name w:val="CommentTok"/>
    <w:basedOn w:val="VerbatimChar"/>
    <w:rsid w:val="009C575B"/>
    <w:rPr>
      <w:i/>
      <w:color w:val="8F5902"/>
      <w:shd w:val="clear" w:color="auto" w:fill="F8F8F8"/>
    </w:rPr>
  </w:style>
  <w:style w:type="character" w:customStyle="1" w:styleId="OtherTok0">
    <w:name w:val="OtherTok"/>
    <w:basedOn w:val="VerbatimChar"/>
    <w:rsid w:val="009C575B"/>
    <w:rPr>
      <w:color w:val="8F5902"/>
      <w:shd w:val="clear" w:color="auto" w:fill="F8F8F8"/>
    </w:rPr>
  </w:style>
  <w:style w:type="character" w:customStyle="1" w:styleId="AlertTok0">
    <w:name w:val="AlertTok"/>
    <w:basedOn w:val="VerbatimChar"/>
    <w:rsid w:val="009C575B"/>
    <w:rPr>
      <w:color w:val="EF2929"/>
      <w:shd w:val="clear" w:color="auto" w:fill="F8F8F8"/>
    </w:rPr>
  </w:style>
  <w:style w:type="character" w:customStyle="1" w:styleId="FunctionTok0">
    <w:name w:val="FunctionTok"/>
    <w:basedOn w:val="VerbatimChar"/>
    <w:rsid w:val="009C575B"/>
    <w:rPr>
      <w:color w:val="000000"/>
      <w:shd w:val="clear" w:color="auto" w:fill="F8F8F8"/>
    </w:rPr>
  </w:style>
  <w:style w:type="character" w:customStyle="1" w:styleId="RegionMarkerTok0">
    <w:name w:val="RegionMarkerTok"/>
    <w:basedOn w:val="VerbatimChar"/>
    <w:rsid w:val="009C575B"/>
    <w:rPr>
      <w:shd w:val="clear" w:color="auto" w:fill="F8F8F8"/>
    </w:rPr>
  </w:style>
  <w:style w:type="character" w:customStyle="1" w:styleId="ErrorTok0">
    <w:name w:val="ErrorTok"/>
    <w:basedOn w:val="VerbatimChar"/>
    <w:rsid w:val="009C575B"/>
    <w:rPr>
      <w:b/>
      <w:shd w:val="clear" w:color="auto" w:fill="F8F8F8"/>
    </w:rPr>
  </w:style>
  <w:style w:type="character" w:customStyle="1" w:styleId="NormalTok0">
    <w:name w:val="NormalTok"/>
    <w:basedOn w:val="VerbatimChar"/>
    <w:rsid w:val="009C575B"/>
    <w:rPr>
      <w:shd w:val="clear" w:color="auto" w:fill="F8F8F8"/>
    </w:rPr>
  </w:style>
  <w:style w:type="paragraph" w:styleId="BalloonText">
    <w:name w:val="Balloon Text"/>
    <w:basedOn w:val="Normal"/>
    <w:link w:val="BalloonTextChar"/>
    <w:rsid w:val="00622B52"/>
    <w:pPr>
      <w:spacing w:before="0" w:after="0"/>
    </w:pPr>
    <w:rPr>
      <w:rFonts w:ascii="Tahoma" w:hAnsi="Tahoma" w:cs="Tahoma"/>
      <w:sz w:val="16"/>
      <w:szCs w:val="16"/>
    </w:rPr>
  </w:style>
  <w:style w:type="character" w:customStyle="1" w:styleId="BalloonTextChar">
    <w:name w:val="Balloon Text Char"/>
    <w:basedOn w:val="DefaultParagraphFont"/>
    <w:link w:val="BalloonText"/>
    <w:rsid w:val="00622B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springer.com/article/10.1007%2Fs12546-013-9115-z" TargetMode="External"/><Relationship Id="rId5" Type="http://schemas.openxmlformats.org/officeDocument/2006/relationships/image" Target="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2</cp:revision>
  <dcterms:created xsi:type="dcterms:W3CDTF">2015-09-09T16:07:00Z</dcterms:created>
  <dcterms:modified xsi:type="dcterms:W3CDTF">2015-09-09T16:07:00Z</dcterms:modified>
</cp:coreProperties>
</file>