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468308B4"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w:t>
      </w:r>
      <w:proofErr w:type="spellStart"/>
      <w:r w:rsidR="00C676D5" w:rsidRPr="00C676D5">
        <w:t>HyDE</w:t>
      </w:r>
      <w:proofErr w:type="spellEnd"/>
      <w:r w:rsidR="00C676D5" w:rsidRPr="00C676D5">
        <w:t>),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p>
    <w:p w14:paraId="58F9581D" w14:textId="19B9F4C6"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w:t>
      </w:r>
      <w:r w:rsidR="007E700E">
        <w:rPr>
          <w:b w:val="0"/>
          <w:bCs w:val="0"/>
        </w:rPr>
        <w:t xml:space="preserve"> for this project </w:t>
      </w:r>
      <w:r w:rsidRPr="007A07BC">
        <w:rPr>
          <w:b w:val="0"/>
          <w:bCs w:val="0"/>
        </w:rPr>
        <w:t>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r w:rsidR="007E700E">
        <w:rPr>
          <w:b w:val="0"/>
          <w:bCs w:val="0"/>
        </w:rPr>
        <w:t xml:space="preserve"> </w:t>
      </w:r>
      <w:proofErr w:type="spellStart"/>
      <w:r w:rsidR="007E700E">
        <w:rPr>
          <w:b w:val="0"/>
          <w:bCs w:val="0"/>
        </w:rPr>
        <w:t>FolkRAG</w:t>
      </w:r>
      <w:proofErr w:type="spellEnd"/>
      <w:r w:rsidR="007E700E">
        <w:rPr>
          <w:b w:val="0"/>
          <w:bCs w:val="0"/>
        </w:rPr>
        <w:t xml:space="preserve"> is not an official product of </w:t>
      </w:r>
      <w:r w:rsidR="007E700E">
        <w:rPr>
          <w:b w:val="0"/>
          <w:bCs w:val="0"/>
        </w:rPr>
        <w:t xml:space="preserve">nor endorsed by </w:t>
      </w:r>
      <w:r w:rsidR="007E700E">
        <w:rPr>
          <w:b w:val="0"/>
          <w:bCs w:val="0"/>
        </w:rPr>
        <w:t>Library of Congress.</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research to successfully navigate a collection, and, when </w:t>
      </w:r>
      <w:r>
        <w:t>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xml:space="preserve">), developed by Gao et al. (2022), which generates hypothetical answers using LLMs to improve retrieval accuracy through answer-to-answer comparison. Pal </w:t>
      </w:r>
      <w:r>
        <w:lastRenderedPageBreak/>
        <w:t>(2023) further validated this approach's effectiveness in reducing hallucinations.</w:t>
      </w:r>
    </w:p>
    <w:p w14:paraId="68D5B176" w14:textId="77777777" w:rsidR="009303D9" w:rsidRPr="005B520E" w:rsidRDefault="005F3FC6" w:rsidP="005F3FC6">
      <w:pPr>
        <w:pStyle w:val="BodyText"/>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77777777" w:rsidR="005F3FC6" w:rsidRDefault="005F3FC6" w:rsidP="005F3FC6">
      <w:pPr>
        <w:pStyle w:val="BodyText"/>
      </w:pPr>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 xml:space="preserve">Archival finding aids describe, in a broad sense, what a collection contains - if physical, its container list will document each box, folder, and sometimes item; if born-digital, its container list will document whatever arrangement </w:t>
      </w:r>
      <w:r>
        <w:t>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2B01B0C3" w14:textId="0EE25491" w:rsidR="009303D9" w:rsidRPr="005B520E" w:rsidRDefault="005F3FC6" w:rsidP="005F3FC6">
      <w:pPr>
        <w:pStyle w:val="BodyText"/>
      </w:pPr>
      <w:r>
        <w:lastRenderedPageBreak/>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t>
      </w:r>
      <w:r>
        <w:t xml:space="preserve">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77777777" w:rsidR="00B25620" w:rsidRDefault="00F500EA" w:rsidP="00B25620">
      <w:pPr>
        <w:pStyle w:val="BodyText"/>
        <w:jc w:val="center"/>
      </w:pPr>
      <w:r w:rsidRPr="00147A15">
        <w:rPr>
          <w:noProof/>
        </w:rPr>
        <w:lastRenderedPageBreak/>
        <w:drawing>
          <wp:inline distT="0" distB="0" distL="0" distR="0" wp14:anchorId="2CD8FAD3" wp14:editId="1B1B44CD">
            <wp:extent cx="1574800" cy="1282700"/>
            <wp:effectExtent l="0" t="0" r="0" b="0"/>
            <wp:docPr id="1" name="Picture 7"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diagram of a software company&#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282700"/>
                    </a:xfrm>
                    <a:prstGeom prst="rect">
                      <a:avLst/>
                    </a:prstGeom>
                    <a:noFill/>
                    <a:ln>
                      <a:noFill/>
                    </a:ln>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DCB2734" w14:textId="09E1FFC2" w:rsidR="00B25620" w:rsidRDefault="00B25620" w:rsidP="00B25620">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xml:space="preserve">)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w:t>
      </w:r>
      <w:proofErr w:type="spellStart"/>
      <w:r>
        <w:t>HyDE</w:t>
      </w:r>
      <w:proofErr w:type="spellEnd"/>
      <w:r>
        <w:t xml:space="preserve"> generation.</w:t>
      </w:r>
    </w:p>
    <w:p w14:paraId="35ABC10B" w14:textId="77777777" w:rsidR="00B25620" w:rsidRDefault="00B25620" w:rsidP="00B25620">
      <w:pPr>
        <w:pStyle w:val="BodyText"/>
      </w:pPr>
    </w:p>
    <w:p w14:paraId="1919A3F5" w14:textId="77777777" w:rsidR="00B25620" w:rsidRDefault="00F500EA" w:rsidP="00B25620">
      <w:pPr>
        <w:pStyle w:val="BodyText"/>
        <w:ind w:firstLine="0"/>
      </w:pPr>
      <w:r w:rsidRPr="00031F95">
        <w:rPr>
          <w:noProof/>
        </w:rPr>
        <w:drawing>
          <wp:inline distT="0" distB="0" distL="0" distR="0" wp14:anchorId="002B1F47" wp14:editId="115BA01E">
            <wp:extent cx="3098800" cy="1320800"/>
            <wp:effectExtent l="0" t="0" r="0" b="0"/>
            <wp:docPr id="2" name="Picture 8" descr="A close-up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up of a computer scree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1320800"/>
                    </a:xfrm>
                    <a:prstGeom prst="rect">
                      <a:avLst/>
                    </a:prstGeom>
                    <a:noFill/>
                    <a:ln>
                      <a:noFill/>
                    </a:ln>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77777777" w:rsidR="000E598C" w:rsidRDefault="00F500EA" w:rsidP="000E598C">
      <w:pPr>
        <w:pStyle w:val="figurecaption"/>
        <w:numPr>
          <w:ilvl w:val="0"/>
          <w:numId w:val="0"/>
        </w:numPr>
        <w:rPr>
          <w:sz w:val="20"/>
          <w:szCs w:val="20"/>
        </w:rPr>
      </w:pPr>
      <w:r w:rsidRPr="00007E9B">
        <w:lastRenderedPageBreak/>
        <w:drawing>
          <wp:inline distT="0" distB="0" distL="0" distR="0" wp14:anchorId="031A50A8" wp14:editId="2394EFE4">
            <wp:extent cx="3086100" cy="1600200"/>
            <wp:effectExtent l="0" t="0" r="0" b="0"/>
            <wp:docPr id="3"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77777777" w:rsidR="009303D9" w:rsidRDefault="000E598C" w:rsidP="000E598C">
      <w:pPr>
        <w:pStyle w:val="BodyText"/>
      </w:pPr>
      <w:r>
        <w:t xml:space="preserve">The preliminary results (Figure 4)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77777777" w:rsidR="00AB33B6" w:rsidRDefault="00F500EA" w:rsidP="00AB33B6">
      <w:pPr>
        <w:pStyle w:val="BodyText"/>
        <w:ind w:firstLine="0"/>
      </w:pPr>
      <w:r w:rsidRPr="002A453E">
        <w:rPr>
          <w:noProof/>
        </w:rPr>
        <w:drawing>
          <wp:inline distT="0" distB="0" distL="0" distR="0" wp14:anchorId="23C3C5F8" wp14:editId="288E8A55">
            <wp:extent cx="3086100" cy="2463800"/>
            <wp:effectExtent l="0" t="0" r="0" b="0"/>
            <wp:docPr id="4" name="Picture 5" descr="A group of graphs with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graphs with different colored lines&#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3800"/>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While both instructor-xl and titan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titan-generated embeddings achieved accuracies of 45% and 59% for top_k values of one and three, respectively. In comparison, the instructor-generated embeddings demonstrated superior performance, achieving accuracy of 61% and 67% for the same top_k values. Based on these results, we discontinued use of the titan embeddings and conducted all subsequent RAG system evaluations using the instructor-xl model as the embedder.</w:t>
      </w:r>
    </w:p>
    <w:p w14:paraId="18DC08F6" w14:textId="032B8175" w:rsid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xml:space="preserve">)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t>
      </w:r>
      <w:r w:rsidR="00AB33B6" w:rsidRPr="00AB33B6">
        <w:rPr>
          <w:sz w:val="20"/>
          <w:szCs w:val="20"/>
        </w:rPr>
        <w:lastRenderedPageBreak/>
        <w:t>with performance plateauing at approximately 94% after a top_k of 25.</w:t>
      </w:r>
    </w:p>
    <w:p w14:paraId="4C507193" w14:textId="77777777" w:rsidR="00AB33B6" w:rsidRDefault="00F500EA" w:rsidP="00AB33B6">
      <w:pPr>
        <w:pStyle w:val="figurecaption"/>
        <w:numPr>
          <w:ilvl w:val="0"/>
          <w:numId w:val="0"/>
        </w:numPr>
        <w:rPr>
          <w:sz w:val="20"/>
          <w:szCs w:val="20"/>
        </w:rPr>
      </w:pPr>
      <w:r w:rsidRPr="004057A3">
        <w:drawing>
          <wp:inline distT="0" distB="0" distL="0" distR="0" wp14:anchorId="7F5DA8CB" wp14:editId="472167FF">
            <wp:extent cx="3086100" cy="1854200"/>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854200"/>
                    </a:xfrm>
                    <a:prstGeom prst="rect">
                      <a:avLst/>
                    </a:prstGeom>
                    <a:noFill/>
                    <a:ln>
                      <a:noFill/>
                    </a:ln>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w:t>
      </w:r>
      <w:r w:rsidRPr="00C676D5">
        <w:rPr>
          <w:lang w:val="en-US"/>
        </w:rPr>
        <w:lastRenderedPageBreak/>
        <w:t>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w:t>
      </w:r>
      <w:proofErr w:type="spellStart"/>
      <w:r w:rsidRPr="00C676D5">
        <w:rPr>
          <w:lang w:val="en-US"/>
        </w:rPr>
        <w:t>HyDE</w:t>
      </w:r>
      <w:proofErr w:type="spellEnd"/>
      <w:r w:rsidRPr="00C676D5">
        <w:rPr>
          <w:lang w:val="en-US"/>
        </w:rPr>
        <w:t xml:space="preserv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w:t>
      </w:r>
      <w:proofErr w:type="spellStart"/>
      <w:r w:rsidRPr="00C676D5">
        <w:rPr>
          <w:lang w:val="en-US"/>
        </w:rPr>
        <w:t>HyDE</w:t>
      </w:r>
      <w:proofErr w:type="spellEnd"/>
      <w:r w:rsidRPr="00C676D5">
        <w:rPr>
          <w:lang w:val="en-US"/>
        </w:rP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w:t>
      </w:r>
      <w:r>
        <w:t>natural language interaction while upholding professional standards of librarianship.</w:t>
      </w:r>
    </w:p>
    <w:p w14:paraId="2830B2B0" w14:textId="77777777" w:rsidR="00C676D5" w:rsidRDefault="00C676D5" w:rsidP="00C676D5">
      <w:pPr>
        <w:pStyle w:val="BodyText"/>
      </w:pPr>
      <w:r>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w:t>
      </w:r>
      <w:proofErr w:type="spellStart"/>
      <w:r>
        <w:t>HyDE</w:t>
      </w:r>
      <w:proofErr w:type="spellEnd"/>
      <w:r>
        <w:t xml:space="preserv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8911" w14:textId="77777777" w:rsidR="0031149C" w:rsidRDefault="0031149C" w:rsidP="001A3B3D">
      <w:r>
        <w:separator/>
      </w:r>
    </w:p>
  </w:endnote>
  <w:endnote w:type="continuationSeparator" w:id="0">
    <w:p w14:paraId="6B57826B" w14:textId="77777777" w:rsidR="0031149C" w:rsidRDefault="003114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1A02" w14:textId="77777777" w:rsidR="0031149C" w:rsidRDefault="0031149C" w:rsidP="001A3B3D">
      <w:r>
        <w:separator/>
      </w:r>
    </w:p>
  </w:footnote>
  <w:footnote w:type="continuationSeparator" w:id="0">
    <w:p w14:paraId="3A85AA8A" w14:textId="77777777" w:rsidR="0031149C" w:rsidRDefault="003114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2254A9"/>
    <w:rsid w:val="00233D97"/>
    <w:rsid w:val="002347A2"/>
    <w:rsid w:val="002850E3"/>
    <w:rsid w:val="0031149C"/>
    <w:rsid w:val="00354FCF"/>
    <w:rsid w:val="003739DC"/>
    <w:rsid w:val="003A19E2"/>
    <w:rsid w:val="003B4E04"/>
    <w:rsid w:val="003F5A08"/>
    <w:rsid w:val="00420716"/>
    <w:rsid w:val="004325FB"/>
    <w:rsid w:val="004432BA"/>
    <w:rsid w:val="0044407E"/>
    <w:rsid w:val="00447BB9"/>
    <w:rsid w:val="0046031D"/>
    <w:rsid w:val="004D72B5"/>
    <w:rsid w:val="00517639"/>
    <w:rsid w:val="00551B7F"/>
    <w:rsid w:val="0056610F"/>
    <w:rsid w:val="00575BCA"/>
    <w:rsid w:val="005B0344"/>
    <w:rsid w:val="005B520E"/>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94804"/>
    <w:rsid w:val="007A07BC"/>
    <w:rsid w:val="007B33F1"/>
    <w:rsid w:val="007B6DDA"/>
    <w:rsid w:val="007C0308"/>
    <w:rsid w:val="007C2FF2"/>
    <w:rsid w:val="007D6232"/>
    <w:rsid w:val="007E700E"/>
    <w:rsid w:val="007F1F99"/>
    <w:rsid w:val="007F768F"/>
    <w:rsid w:val="0080791D"/>
    <w:rsid w:val="00836367"/>
    <w:rsid w:val="00841512"/>
    <w:rsid w:val="00873603"/>
    <w:rsid w:val="008A2C7D"/>
    <w:rsid w:val="008C4B23"/>
    <w:rsid w:val="008F6E2C"/>
    <w:rsid w:val="009303D9"/>
    <w:rsid w:val="00933C64"/>
    <w:rsid w:val="00972203"/>
    <w:rsid w:val="009B32DF"/>
    <w:rsid w:val="009F1D79"/>
    <w:rsid w:val="00A059B3"/>
    <w:rsid w:val="00A33C6A"/>
    <w:rsid w:val="00AB33B6"/>
    <w:rsid w:val="00AE3409"/>
    <w:rsid w:val="00B11A60"/>
    <w:rsid w:val="00B22613"/>
    <w:rsid w:val="00B25620"/>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4</cp:revision>
  <dcterms:created xsi:type="dcterms:W3CDTF">2024-12-06T16:44:00Z</dcterms:created>
  <dcterms:modified xsi:type="dcterms:W3CDTF">2024-12-06T16:55:00Z</dcterms:modified>
</cp:coreProperties>
</file>