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A1512" w:val="clear"/>
            <w:tcMar>
              <w:top w:type="dxa" w:w="360"/>
              <w:left w:type="dxa" w:w="1440"/>
              <w:bottom w:type="dxa" w:w="320"/>
              <w:right w:type="dxa" w:w="1440"/>
            </w:tcMar>
          </w:tcPr>
          <w:p>
            <w:pPr>
              <w:spacing w:after="40"/>
            </w:pPr>
            <w:r>
              <w:rPr>
                <w:rFonts w:ascii="Arial" w:cs="Arial" w:eastAsia="Arial" w:hAnsi="Arial"/>
                <w:b/>
                <w:bCs/>
                <w:color w:val="FFFFFF"/>
                <w:sz w:val="34"/>
                <w:szCs w:val="34"/>
              </w:rPr>
              <w:t xml:space="preserve">VULNAGUARD </w:t>
            </w:r>
            <w:r>
              <w:rPr>
                <w:rFonts w:ascii="Arial" w:cs="Arial" w:eastAsia="Arial" w:hAnsi="Arial"/>
                <w:b/>
                <w:bCs/>
                <w:color w:val="C2653A"/>
                <w:sz w:val="34"/>
                <w:szCs w:val="34"/>
              </w:rPr>
              <w:t xml:space="preserve">LLC</w:t>
            </w:r>
          </w:p>
          <w:p>
            <w:pPr>
              <w:spacing w:after="220"/>
            </w:pPr>
            <w:r>
              <w:rPr>
                <w:rFonts w:ascii="Arial" w:cs="Arial" w:eastAsia="Arial" w:hAnsi="Arial"/>
                <w:b/>
                <w:bCs/>
                <w:color w:val="C9BFB2"/>
                <w:sz w:val="18"/>
                <w:szCs w:val="18"/>
              </w:rPr>
              <w:t xml:space="preserve">STATEMENT OF WORK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5000"/>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9A8F82"/>
                      <w:sz w:val="16"/>
                      <w:szCs w:val="16"/>
                    </w:rPr>
                    <w:t xml:space="preserve">CLIENT</w:t>
                  </w:r>
                </w:p>
              </w:tc>
              <w:tc>
                <w:tcPr>
                  <w:tcW w:type="dxa" w:w="5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FFFFFF"/>
                      <w:sz w:val="18"/>
                      <w:szCs w:val="18"/>
                    </w:rPr>
                    <w:t xml:space="preserve">AfterSwing</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9A8F82"/>
                      <w:sz w:val="16"/>
                      <w:szCs w:val="16"/>
                    </w:rPr>
                    <w:t xml:space="preserve">ENGAGEMENT</w:t>
                  </w:r>
                </w:p>
              </w:tc>
              <w:tc>
                <w:tcPr>
                  <w:tcW w:type="dxa" w:w="5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FFFFFF"/>
                      <w:sz w:val="18"/>
                      <w:szCs w:val="18"/>
                    </w:rPr>
                    <w:t xml:space="preserve">NIST SP 800-171 Gap Assessment</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9A8F82"/>
                      <w:sz w:val="16"/>
                      <w:szCs w:val="16"/>
                    </w:rPr>
                    <w:t xml:space="preserve">SOW NUMBER</w:t>
                  </w:r>
                </w:p>
              </w:tc>
              <w:tc>
                <w:tcPr>
                  <w:tcW w:type="dxa" w:w="5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FFFFFF"/>
                      <w:sz w:val="18"/>
                      <w:szCs w:val="18"/>
                    </w:rPr>
                    <w:t xml:space="preserve">VG-2026-001</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9A8F82"/>
                      <w:sz w:val="16"/>
                      <w:szCs w:val="16"/>
                    </w:rPr>
                    <w:t xml:space="preserve">EFFECTIVE DATE</w:t>
                  </w:r>
                </w:p>
              </w:tc>
              <w:tc>
                <w:tcPr>
                  <w:tcW w:type="dxa" w:w="5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FFFFFF"/>
                      <w:sz w:val="18"/>
                      <w:szCs w:val="18"/>
                    </w:rPr>
                    <w:t xml:space="preserve">2026-07-01</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9A8F82"/>
                      <w:sz w:val="16"/>
                      <w:szCs w:val="16"/>
                    </w:rPr>
                    <w:t xml:space="preserve">PREPARED BY</w:t>
                  </w:r>
                </w:p>
              </w:tc>
              <w:tc>
                <w:tcPr>
                  <w:tcW w:type="dxa" w:w="5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FFFFFF"/>
                      <w:sz w:val="18"/>
                      <w:szCs w:val="18"/>
                    </w:rPr>
                    <w:t xml:space="preserve">Vulnaguard LLC</w:t>
                  </w:r>
                </w:p>
              </w:tc>
            </w:tr>
          </w:tbl>
          <w:p/>
        </w:tc>
      </w:tr>
    </w:tbl>
    <w:p>
      <w:pPr>
        <w:spacing w:before="260"/>
      </w:pPr>
    </w:p>
    <w:p>
      <w:pPr>
        <w:pStyle w:val="Heading1"/>
        <w:pBdr>
          <w:bottom w:val="single" w:color="C2653A" w:sz="6" w:space="6"/>
        </w:pBdr>
        <w:spacing w:after="140" w:before="320"/>
      </w:pPr>
      <w:r>
        <w:rPr>
          <w:rFonts w:ascii="Arial" w:cs="Arial" w:eastAsia="Arial" w:hAnsi="Arial"/>
          <w:b/>
          <w:bCs/>
          <w:color w:val="C2653A"/>
          <w:sz w:val="22"/>
          <w:szCs w:val="22"/>
        </w:rPr>
        <w:t xml:space="preserve">1. OVERVIEW</w:t>
      </w:r>
    </w:p>
    <w:p>
      <w:pPr>
        <w:spacing w:after="140"/>
      </w:pPr>
      <w:r>
        <w:rPr>
          <w:rFonts w:ascii="Arial" w:cs="Arial" w:eastAsia="Arial" w:hAnsi="Arial"/>
          <w:color w:val="5A5550"/>
          <w:sz w:val="20"/>
          <w:szCs w:val="20"/>
        </w:rPr>
        <w:t xml:space="preserve">This Statement of Work (“SOW”) is entered into by and between Vulnaguard LLC (“Vulnaguard”) and AfterSwing (“Client”) and is governed by the Master Services Agreement (“MSA”) between the parties, to be executed concurrently.</w:t>
      </w:r>
    </w:p>
    <w:p>
      <w:pPr>
        <w:spacing w:after="140"/>
      </w:pPr>
      <w:r>
        <w:rPr>
          <w:rFonts w:ascii="Arial" w:cs="Arial" w:eastAsia="Arial" w:hAnsi="Arial"/>
          <w:color w:val="5A5550"/>
          <w:sz w:val="20"/>
          <w:szCs w:val="20"/>
        </w:rPr>
        <w:t xml:space="preserve">This SOW describes the scope, deliverables, timeline, and fees for the NIST SP 800-171 Gap Assessment described herein.</w:t>
      </w:r>
    </w:p>
    <w:p>
      <w:pPr>
        <w:pStyle w:val="Heading1"/>
        <w:pBdr>
          <w:bottom w:val="single" w:color="C2653A" w:sz="6" w:space="6"/>
        </w:pBdr>
        <w:spacing w:after="140" w:before="320"/>
      </w:pPr>
      <w:r>
        <w:rPr>
          <w:rFonts w:ascii="Arial" w:cs="Arial" w:eastAsia="Arial" w:hAnsi="Arial"/>
          <w:b/>
          <w:bCs/>
          <w:color w:val="C2653A"/>
          <w:sz w:val="22"/>
          <w:szCs w:val="22"/>
        </w:rPr>
        <w:t xml:space="preserve">2. SERVICES</w:t>
      </w:r>
    </w:p>
    <w:p>
      <w:pPr>
        <w:spacing w:after="140"/>
      </w:pPr>
      <w:r>
        <w:rPr>
          <w:rFonts w:ascii="Arial" w:cs="Arial" w:eastAsia="Arial" w:hAnsi="Arial"/>
          <w:color w:val="5A5550"/>
          <w:sz w:val="20"/>
          <w:szCs w:val="20"/>
        </w:rPr>
        <w:t xml:space="preserve">Vulnaguard will perform a NIST SP 800-171 Gap Assessment for AfterSwing. The engagement will be conducted in accordance with the Vulnaguard Delivery Methodology and NIST SP 800-171 Rev 2.</w:t>
      </w:r>
    </w:p>
    <w:p>
      <w:pPr>
        <w:pStyle w:val="Heading2"/>
        <w:spacing w:after="100" w:before="200"/>
      </w:pPr>
      <w:r>
        <w:rPr>
          <w:rFonts w:ascii="Arial" w:cs="Arial" w:eastAsia="Arial" w:hAnsi="Arial"/>
          <w:b/>
          <w:bCs/>
          <w:color w:val="1A1512"/>
          <w:sz w:val="20"/>
          <w:szCs w:val="20"/>
        </w:rPr>
        <w:t xml:space="preserve">2.1  In Scope</w:t>
      </w:r>
    </w:p>
    <w:p>
      <w:pPr>
        <w:spacing w:after="140"/>
      </w:pPr>
      <w:r>
        <w:rPr>
          <w:rFonts w:ascii="Arial" w:cs="Arial" w:eastAsia="Arial" w:hAnsi="Arial"/>
          <w:color w:val="5A5550"/>
          <w:sz w:val="20"/>
          <w:szCs w:val="20"/>
        </w:rPr>
        <w:t xml:space="preserve">All IT systems within AfterSwing’s CUI boundary, including associated policies, procedures, and personnel. Specifically, the following are in scope:</w:t>
      </w:r>
    </w:p>
    <w:p>
      <w:pPr>
        <w:pStyle w:val="ListParagraph"/>
        <w:numPr>
          <w:ilvl w:val="0"/>
          <w:numId w:val="2"/>
        </w:numPr>
        <w:spacing w:after="80"/>
      </w:pPr>
      <w:r>
        <w:rPr>
          <w:rFonts w:ascii="Arial" w:cs="Arial" w:eastAsia="Arial" w:hAnsi="Arial"/>
          <w:color w:val="5A5550"/>
          <w:sz w:val="20"/>
          <w:szCs w:val="20"/>
        </w:rPr>
        <w:t xml:space="preserve">All systems that create, receive, store, process, or transmit CUI</w:t>
      </w:r>
    </w:p>
    <w:p>
      <w:pPr>
        <w:pStyle w:val="ListParagraph"/>
        <w:numPr>
          <w:ilvl w:val="0"/>
          <w:numId w:val="2"/>
        </w:numPr>
        <w:spacing w:after="80"/>
      </w:pPr>
      <w:r>
        <w:rPr>
          <w:rFonts w:ascii="Arial" w:cs="Arial" w:eastAsia="Arial" w:hAnsi="Arial"/>
          <w:color w:val="5A5550"/>
          <w:sz w:val="20"/>
          <w:szCs w:val="20"/>
        </w:rPr>
        <w:t xml:space="preserve">Security policies, procedures, and documentation governing in-scope systems</w:t>
      </w:r>
    </w:p>
    <w:p>
      <w:pPr>
        <w:pStyle w:val="ListParagraph"/>
        <w:numPr>
          <w:ilvl w:val="0"/>
          <w:numId w:val="2"/>
        </w:numPr>
        <w:spacing w:after="80"/>
      </w:pPr>
      <w:r>
        <w:rPr>
          <w:rFonts w:ascii="Arial" w:cs="Arial" w:eastAsia="Arial" w:hAnsi="Arial"/>
          <w:color w:val="5A5550"/>
          <w:sz w:val="20"/>
          <w:szCs w:val="20"/>
        </w:rPr>
        <w:t xml:space="preserve">IT and security personnel responsible for in-scope systems</w:t>
      </w:r>
    </w:p>
    <w:p>
      <w:pPr>
        <w:pStyle w:val="Heading2"/>
        <w:spacing w:after="100" w:before="200"/>
      </w:pPr>
      <w:r>
        <w:rPr>
          <w:rFonts w:ascii="Arial" w:cs="Arial" w:eastAsia="Arial" w:hAnsi="Arial"/>
          <w:b/>
          <w:bCs/>
          <w:color w:val="1A1512"/>
          <w:sz w:val="20"/>
          <w:szCs w:val="20"/>
        </w:rPr>
        <w:t xml:space="preserve">2.2  Out of Scope</w:t>
      </w:r>
    </w:p>
    <w:p>
      <w:pPr>
        <w:spacing w:after="140"/>
      </w:pPr>
      <w:r>
        <w:rPr>
          <w:rFonts w:ascii="Arial" w:cs="Arial" w:eastAsia="Arial" w:hAnsi="Arial"/>
          <w:color w:val="5A5550"/>
          <w:sz w:val="20"/>
          <w:szCs w:val="20"/>
        </w:rPr>
        <w:t xml:space="preserve">The following are explicitly out of scope:</w:t>
      </w:r>
    </w:p>
    <w:p>
      <w:pPr>
        <w:pStyle w:val="ListParagraph"/>
        <w:numPr>
          <w:ilvl w:val="0"/>
          <w:numId w:val="2"/>
        </w:numPr>
        <w:spacing w:after="80"/>
      </w:pPr>
      <w:r>
        <w:rPr>
          <w:rFonts w:ascii="Arial" w:cs="Arial" w:eastAsia="Arial" w:hAnsi="Arial"/>
          <w:color w:val="5A5550"/>
          <w:sz w:val="20"/>
          <w:szCs w:val="20"/>
        </w:rPr>
        <w:t xml:space="preserve">Systems outside AfterSwing’s defined CUI boundary</w:t>
      </w:r>
    </w:p>
    <w:p>
      <w:pPr>
        <w:pStyle w:val="ListParagraph"/>
        <w:numPr>
          <w:ilvl w:val="0"/>
          <w:numId w:val="2"/>
        </w:numPr>
        <w:spacing w:after="80"/>
      </w:pPr>
      <w:r>
        <w:rPr>
          <w:rFonts w:ascii="Arial" w:cs="Arial" w:eastAsia="Arial" w:hAnsi="Arial"/>
          <w:color w:val="5A5550"/>
          <w:sz w:val="20"/>
          <w:szCs w:val="20"/>
        </w:rPr>
        <w:t xml:space="preserve">Third-party SaaS applications not directly handling CUI</w:t>
      </w:r>
    </w:p>
    <w:p>
      <w:pPr>
        <w:pStyle w:val="ListParagraph"/>
        <w:numPr>
          <w:ilvl w:val="0"/>
          <w:numId w:val="2"/>
        </w:numPr>
        <w:spacing w:after="80"/>
      </w:pPr>
      <w:r>
        <w:rPr>
          <w:rFonts w:ascii="Arial" w:cs="Arial" w:eastAsia="Arial" w:hAnsi="Arial"/>
          <w:color w:val="5A5550"/>
          <w:sz w:val="20"/>
          <w:szCs w:val="20"/>
        </w:rPr>
        <w:t xml:space="preserve">Any systems, locations, or activities not listed as in scope above</w:t>
      </w:r>
    </w:p>
    <w:p>
      <w:pPr>
        <w:pStyle w:val="Heading2"/>
        <w:spacing w:after="100" w:before="200"/>
      </w:pPr>
      <w:r>
        <w:rPr>
          <w:rFonts w:ascii="Arial" w:cs="Arial" w:eastAsia="Arial" w:hAnsi="Arial"/>
          <w:b/>
          <w:bCs/>
          <w:color w:val="1A1512"/>
          <w:sz w:val="20"/>
          <w:szCs w:val="20"/>
        </w:rPr>
        <w:t xml:space="preserve">2.3  Client Responsibilities</w:t>
      </w:r>
    </w:p>
    <w:p>
      <w:pPr>
        <w:spacing w:after="140"/>
      </w:pPr>
      <w:r>
        <w:rPr>
          <w:rFonts w:ascii="Arial" w:cs="Arial" w:eastAsia="Arial" w:hAnsi="Arial"/>
          <w:color w:val="5A5550"/>
          <w:sz w:val="20"/>
          <w:szCs w:val="20"/>
        </w:rPr>
        <w:t xml:space="preserve">Client agrees to:</w:t>
      </w:r>
    </w:p>
    <w:p>
      <w:pPr>
        <w:pStyle w:val="ListParagraph"/>
        <w:numPr>
          <w:ilvl w:val="0"/>
          <w:numId w:val="2"/>
        </w:numPr>
        <w:spacing w:after="80"/>
      </w:pPr>
      <w:r>
        <w:rPr>
          <w:rFonts w:ascii="Arial" w:cs="Arial" w:eastAsia="Arial" w:hAnsi="Arial"/>
          <w:color w:val="5A5550"/>
          <w:sz w:val="20"/>
          <w:szCs w:val="20"/>
        </w:rPr>
        <w:t xml:space="preserve">Provide accurate and timely information during the discovery phase</w:t>
      </w:r>
    </w:p>
    <w:p>
      <w:pPr>
        <w:pStyle w:val="ListParagraph"/>
        <w:numPr>
          <w:ilvl w:val="0"/>
          <w:numId w:val="2"/>
        </w:numPr>
        <w:spacing w:after="80"/>
      </w:pPr>
      <w:r>
        <w:rPr>
          <w:rFonts w:ascii="Arial" w:cs="Arial" w:eastAsia="Arial" w:hAnsi="Arial"/>
          <w:color w:val="5A5550"/>
          <w:sz w:val="20"/>
          <w:szCs w:val="20"/>
        </w:rPr>
        <w:t xml:space="preserve">Provide access to systems, documentation, and personnel as required</w:t>
      </w:r>
    </w:p>
    <w:p>
      <w:pPr>
        <w:pStyle w:val="ListParagraph"/>
        <w:numPr>
          <w:ilvl w:val="0"/>
          <w:numId w:val="2"/>
        </w:numPr>
        <w:spacing w:after="80"/>
      </w:pPr>
      <w:r>
        <w:rPr>
          <w:rFonts w:ascii="Arial" w:cs="Arial" w:eastAsia="Arial" w:hAnsi="Arial"/>
          <w:color w:val="5A5550"/>
          <w:sz w:val="20"/>
          <w:szCs w:val="20"/>
        </w:rPr>
        <w:t xml:space="preserve">Review and respond to draft deliverables within 5 business days</w:t>
      </w:r>
    </w:p>
    <w:p>
      <w:pPr>
        <w:pStyle w:val="ListParagraph"/>
        <w:numPr>
          <w:ilvl w:val="0"/>
          <w:numId w:val="2"/>
        </w:numPr>
        <w:spacing w:after="80"/>
      </w:pPr>
      <w:r>
        <w:rPr>
          <w:rFonts w:ascii="Arial" w:cs="Arial" w:eastAsia="Arial" w:hAnsi="Arial"/>
          <w:color w:val="5A5550"/>
          <w:sz w:val="20"/>
          <w:szCs w:val="20"/>
        </w:rPr>
        <w:t xml:space="preserve">Designate a primary contact and technical contact for the engagement</w:t>
      </w:r>
    </w:p>
    <w:p>
      <w:pPr>
        <w:pStyle w:val="Heading1"/>
        <w:pBdr>
          <w:bottom w:val="single" w:color="C2653A" w:sz="6" w:space="6"/>
        </w:pBdr>
        <w:spacing w:after="140" w:before="320"/>
      </w:pPr>
      <w:r>
        <w:rPr>
          <w:rFonts w:ascii="Arial" w:cs="Arial" w:eastAsia="Arial" w:hAnsi="Arial"/>
          <w:b/>
          <w:bCs/>
          <w:color w:val="C2653A"/>
          <w:sz w:val="22"/>
          <w:szCs w:val="22"/>
        </w:rPr>
        <w:t xml:space="preserve">3.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2200"/>
        <w:gridCol w:w="2200"/>
      </w:tblGrid>
      <w:tr>
        <w:trPr>
          <w:tblHeader/>
        </w:trPr>
        <w:tc>
          <w:tcPr>
            <w:tcW w:type="dxa" w:w="4960"/>
            <w:tcBorders>
              <w:top w:val="single" w:color="D9CFC3" w:sz="4"/>
              <w:left w:val="single" w:color="D9CFC3" w:sz="4"/>
              <w:bottom w:val="single" w:color="D9CFC3" w:sz="4"/>
              <w:right w:val="single" w:color="D9CFC3" w:sz="4"/>
            </w:tcBorders>
            <w:shd w:fill="1A1512" w:val="clear"/>
            <w:tcMar>
              <w:top w:type="dxa" w:w="100"/>
              <w:left w:type="dxa" w:w="120"/>
              <w:bottom w:type="dxa" w:w="100"/>
              <w:right w:type="dxa" w:w="120"/>
            </w:tcMar>
            <w:vAlign w:val="center"/>
          </w:tcPr>
          <w:p>
            <w:r>
              <w:rPr>
                <w:rFonts w:ascii="Arial" w:cs="Arial" w:eastAsia="Arial" w:hAnsi="Arial"/>
                <w:b/>
                <w:bCs/>
                <w:color w:val="FFFFFF"/>
                <w:sz w:val="17"/>
                <w:szCs w:val="17"/>
              </w:rPr>
              <w:t xml:space="preserve">Deliverable</w:t>
            </w:r>
          </w:p>
        </w:tc>
        <w:tc>
          <w:tcPr>
            <w:tcW w:type="dxa" w:w="2200"/>
            <w:tcBorders>
              <w:top w:val="single" w:color="D9CFC3" w:sz="4"/>
              <w:left w:val="single" w:color="D9CFC3" w:sz="4"/>
              <w:bottom w:val="single" w:color="D9CFC3" w:sz="4"/>
              <w:right w:val="single" w:color="D9CFC3" w:sz="4"/>
            </w:tcBorders>
            <w:shd w:fill="1A1512" w:val="clear"/>
            <w:tcMar>
              <w:top w:type="dxa" w:w="100"/>
              <w:left w:type="dxa" w:w="120"/>
              <w:bottom w:type="dxa" w:w="100"/>
              <w:right w:type="dxa" w:w="120"/>
            </w:tcMar>
            <w:vAlign w:val="center"/>
          </w:tcPr>
          <w:p>
            <w:r>
              <w:rPr>
                <w:rFonts w:ascii="Arial" w:cs="Arial" w:eastAsia="Arial" w:hAnsi="Arial"/>
                <w:b/>
                <w:bCs/>
                <w:color w:val="FFFFFF"/>
                <w:sz w:val="17"/>
                <w:szCs w:val="17"/>
              </w:rPr>
              <w:t xml:space="preserve">Format</w:t>
            </w:r>
          </w:p>
        </w:tc>
        <w:tc>
          <w:tcPr>
            <w:tcW w:type="dxa" w:w="2200"/>
            <w:tcBorders>
              <w:top w:val="single" w:color="D9CFC3" w:sz="4"/>
              <w:left w:val="single" w:color="D9CFC3" w:sz="4"/>
              <w:bottom w:val="single" w:color="D9CFC3" w:sz="4"/>
              <w:right w:val="single" w:color="D9CFC3" w:sz="4"/>
            </w:tcBorders>
            <w:shd w:fill="1A1512" w:val="clear"/>
            <w:tcMar>
              <w:top w:type="dxa" w:w="100"/>
              <w:left w:type="dxa" w:w="120"/>
              <w:bottom w:type="dxa" w:w="100"/>
              <w:right w:type="dxa" w:w="120"/>
            </w:tcMar>
            <w:vAlign w:val="center"/>
          </w:tcPr>
          <w:p>
            <w:r>
              <w:rPr>
                <w:rFonts w:ascii="Arial" w:cs="Arial" w:eastAsia="Arial" w:hAnsi="Arial"/>
                <w:b/>
                <w:bCs/>
                <w:color w:val="FFFFFF"/>
                <w:sz w:val="17"/>
                <w:szCs w:val="17"/>
              </w:rPr>
              <w:t xml:space="preserve">Target Delivery</w:t>
            </w:r>
          </w:p>
        </w:tc>
      </w:tr>
      <w:tr>
        <w:tc>
          <w:tcPr>
            <w:tcW w:type="dxa" w:w="496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Gap Analysis / Technical Report</w:t>
            </w:r>
          </w:p>
        </w:tc>
        <w:tc>
          <w:tcPr>
            <w:tcW w:type="dxa" w:w="220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Word + PDF</w:t>
            </w:r>
          </w:p>
        </w:tc>
        <w:tc>
          <w:tcPr>
            <w:tcW w:type="dxa" w:w="220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2026-11-01</w:t>
            </w:r>
          </w:p>
        </w:tc>
      </w:tr>
      <w:tr>
        <w:tc>
          <w:tcPr>
            <w:tcW w:type="dxa" w:w="4960"/>
            <w:tcBorders>
              <w:top w:val="single" w:color="D9CFC3" w:sz="4"/>
              <w:left w:val="single" w:color="D9CFC3" w:sz="4"/>
              <w:bottom w:val="single" w:color="D9CFC3" w:sz="4"/>
              <w:right w:val="single" w:color="D9CFC3" w:sz="4"/>
            </w:tcBorders>
            <w:shd w:fill="FBF3EA"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Control-by-Control Assessment Table</w:t>
            </w:r>
          </w:p>
        </w:tc>
        <w:tc>
          <w:tcPr>
            <w:tcW w:type="dxa" w:w="2200"/>
            <w:tcBorders>
              <w:top w:val="single" w:color="D9CFC3" w:sz="4"/>
              <w:left w:val="single" w:color="D9CFC3" w:sz="4"/>
              <w:bottom w:val="single" w:color="D9CFC3" w:sz="4"/>
              <w:right w:val="single" w:color="D9CFC3" w:sz="4"/>
            </w:tcBorders>
            <w:shd w:fill="FBF3EA"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Excel</w:t>
            </w:r>
          </w:p>
        </w:tc>
        <w:tc>
          <w:tcPr>
            <w:tcW w:type="dxa" w:w="2200"/>
            <w:tcBorders>
              <w:top w:val="single" w:color="D9CFC3" w:sz="4"/>
              <w:left w:val="single" w:color="D9CFC3" w:sz="4"/>
              <w:bottom w:val="single" w:color="D9CFC3" w:sz="4"/>
              <w:right w:val="single" w:color="D9CFC3" w:sz="4"/>
            </w:tcBorders>
            <w:shd w:fill="FBF3EA"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2026-11-01</w:t>
            </w:r>
          </w:p>
        </w:tc>
      </w:tr>
      <w:tr>
        <w:tc>
          <w:tcPr>
            <w:tcW w:type="dxa" w:w="496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Compliance Roadmap</w:t>
            </w:r>
          </w:p>
        </w:tc>
        <w:tc>
          <w:tcPr>
            <w:tcW w:type="dxa" w:w="220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Word + PDF</w:t>
            </w:r>
          </w:p>
        </w:tc>
        <w:tc>
          <w:tcPr>
            <w:tcW w:type="dxa" w:w="220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2026-11-01</w:t>
            </w:r>
          </w:p>
        </w:tc>
      </w:tr>
      <w:tr>
        <w:tc>
          <w:tcPr>
            <w:tcW w:type="dxa" w:w="4960"/>
            <w:tcBorders>
              <w:top w:val="single" w:color="D9CFC3" w:sz="4"/>
              <w:left w:val="single" w:color="D9CFC3" w:sz="4"/>
              <w:bottom w:val="single" w:color="D9CFC3" w:sz="4"/>
              <w:right w:val="single" w:color="D9CFC3" w:sz="4"/>
            </w:tcBorders>
            <w:shd w:fill="FBF3EA"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Executive Summary</w:t>
            </w:r>
          </w:p>
        </w:tc>
        <w:tc>
          <w:tcPr>
            <w:tcW w:type="dxa" w:w="2200"/>
            <w:tcBorders>
              <w:top w:val="single" w:color="D9CFC3" w:sz="4"/>
              <w:left w:val="single" w:color="D9CFC3" w:sz="4"/>
              <w:bottom w:val="single" w:color="D9CFC3" w:sz="4"/>
              <w:right w:val="single" w:color="D9CFC3" w:sz="4"/>
            </w:tcBorders>
            <w:shd w:fill="FBF3EA"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Word + PDF</w:t>
            </w:r>
          </w:p>
        </w:tc>
        <w:tc>
          <w:tcPr>
            <w:tcW w:type="dxa" w:w="2200"/>
            <w:tcBorders>
              <w:top w:val="single" w:color="D9CFC3" w:sz="4"/>
              <w:left w:val="single" w:color="D9CFC3" w:sz="4"/>
              <w:bottom w:val="single" w:color="D9CFC3" w:sz="4"/>
              <w:right w:val="single" w:color="D9CFC3" w:sz="4"/>
            </w:tcBorders>
            <w:shd w:fill="FBF3EA"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2026-11-01</w:t>
            </w:r>
          </w:p>
        </w:tc>
      </w:tr>
    </w:tbl>
    <w:p>
      <w:pPr>
        <w:pStyle w:val="Heading1"/>
        <w:pBdr>
          <w:bottom w:val="single" w:color="C2653A" w:sz="6" w:space="6"/>
        </w:pBdr>
        <w:spacing w:after="140" w:before="320"/>
      </w:pPr>
      <w:r>
        <w:rPr>
          <w:rFonts w:ascii="Arial" w:cs="Arial" w:eastAsia="Arial" w:hAnsi="Arial"/>
          <w:b/>
          <w:bCs/>
          <w:color w:val="C2653A"/>
          <w:sz w:val="22"/>
          <w:szCs w:val="22"/>
        </w:rPr>
        <w:t xml:space="preserve">4.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D9CFC3" w:sz="4"/>
              <w:left w:val="single" w:color="D9CFC3" w:sz="4"/>
              <w:bottom w:val="single" w:color="D9CFC3" w:sz="4"/>
              <w:right w:val="single" w:color="D9CFC3" w:sz="4"/>
            </w:tcBorders>
            <w:shd w:fill="1A1512" w:val="clear"/>
            <w:tcMar>
              <w:top w:type="dxa" w:w="100"/>
              <w:left w:type="dxa" w:w="120"/>
              <w:bottom w:type="dxa" w:w="100"/>
              <w:right w:type="dxa" w:w="120"/>
            </w:tcMar>
            <w:vAlign w:val="center"/>
          </w:tcPr>
          <w:p>
            <w:r>
              <w:rPr>
                <w:rFonts w:ascii="Arial" w:cs="Arial" w:eastAsia="Arial" w:hAnsi="Arial"/>
                <w:b/>
                <w:bCs/>
                <w:color w:val="FFFFFF"/>
                <w:sz w:val="17"/>
                <w:szCs w:val="17"/>
              </w:rPr>
              <w:t xml:space="preserve">Milestone</w:t>
            </w:r>
          </w:p>
        </w:tc>
        <w:tc>
          <w:tcPr>
            <w:tcW w:type="dxa" w:w="2400"/>
            <w:tcBorders>
              <w:top w:val="single" w:color="D9CFC3" w:sz="4"/>
              <w:left w:val="single" w:color="D9CFC3" w:sz="4"/>
              <w:bottom w:val="single" w:color="D9CFC3" w:sz="4"/>
              <w:right w:val="single" w:color="D9CFC3" w:sz="4"/>
            </w:tcBorders>
            <w:shd w:fill="1A1512" w:val="clear"/>
            <w:tcMar>
              <w:top w:type="dxa" w:w="100"/>
              <w:left w:type="dxa" w:w="120"/>
              <w:bottom w:type="dxa" w:w="100"/>
              <w:right w:type="dxa" w:w="120"/>
            </w:tcMar>
            <w:vAlign w:val="center"/>
          </w:tcPr>
          <w:p>
            <w:r>
              <w:rPr>
                <w:rFonts w:ascii="Arial" w:cs="Arial" w:eastAsia="Arial" w:hAnsi="Arial"/>
                <w:b/>
                <w:bCs/>
                <w:color w:val="FFFFFF"/>
                <w:sz w:val="17"/>
                <w:szCs w:val="17"/>
              </w:rPr>
              <w:t xml:space="preserve">Target Date</w:t>
            </w:r>
          </w:p>
        </w:tc>
      </w:tr>
      <w:tr>
        <w:tc>
          <w:tcPr>
            <w:tcW w:type="dxa" w:w="696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Contract execution and kickoff scheduling</w:t>
            </w:r>
          </w:p>
        </w:tc>
        <w:tc>
          <w:tcPr>
            <w:tcW w:type="dxa" w:w="240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2026-07-01</w:t>
            </w:r>
          </w:p>
        </w:tc>
      </w:tr>
      <w:tr>
        <w:tc>
          <w:tcPr>
            <w:tcW w:type="dxa" w:w="6960"/>
            <w:tcBorders>
              <w:top w:val="single" w:color="D9CFC3" w:sz="4"/>
              <w:left w:val="single" w:color="D9CFC3" w:sz="4"/>
              <w:bottom w:val="single" w:color="D9CFC3" w:sz="4"/>
              <w:right w:val="single" w:color="D9CFC3" w:sz="4"/>
            </w:tcBorders>
            <w:shd w:fill="FBF3EA"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Discovery questionnaire due from Client</w:t>
            </w:r>
          </w:p>
        </w:tc>
        <w:tc>
          <w:tcPr>
            <w:tcW w:type="dxa" w:w="2400"/>
            <w:tcBorders>
              <w:top w:val="single" w:color="D9CFC3" w:sz="4"/>
              <w:left w:val="single" w:color="D9CFC3" w:sz="4"/>
              <w:bottom w:val="single" w:color="D9CFC3" w:sz="4"/>
              <w:right w:val="single" w:color="D9CFC3" w:sz="4"/>
            </w:tcBorders>
            <w:shd w:fill="FBF3EA"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2026-07-08</w:t>
            </w:r>
          </w:p>
        </w:tc>
      </w:tr>
      <w:tr>
        <w:tc>
          <w:tcPr>
            <w:tcW w:type="dxa" w:w="696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Kickoff meeting</w:t>
            </w:r>
          </w:p>
        </w:tc>
        <w:tc>
          <w:tcPr>
            <w:tcW w:type="dxa" w:w="240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2026-07-15</w:t>
            </w:r>
          </w:p>
        </w:tc>
      </w:tr>
      <w:tr>
        <w:tc>
          <w:tcPr>
            <w:tcW w:type="dxa" w:w="6960"/>
            <w:tcBorders>
              <w:top w:val="single" w:color="D9CFC3" w:sz="4"/>
              <w:left w:val="single" w:color="D9CFC3" w:sz="4"/>
              <w:bottom w:val="single" w:color="D9CFC3" w:sz="4"/>
              <w:right w:val="single" w:color="D9CFC3" w:sz="4"/>
            </w:tcBorders>
            <w:shd w:fill="FBF3EA"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Assessment start</w:t>
            </w:r>
          </w:p>
        </w:tc>
        <w:tc>
          <w:tcPr>
            <w:tcW w:type="dxa" w:w="2400"/>
            <w:tcBorders>
              <w:top w:val="single" w:color="D9CFC3" w:sz="4"/>
              <w:left w:val="single" w:color="D9CFC3" w:sz="4"/>
              <w:bottom w:val="single" w:color="D9CFC3" w:sz="4"/>
              <w:right w:val="single" w:color="D9CFC3" w:sz="4"/>
            </w:tcBorders>
            <w:shd w:fill="FBF3EA"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2026-07-01</w:t>
            </w:r>
          </w:p>
        </w:tc>
      </w:tr>
      <w:tr>
        <w:tc>
          <w:tcPr>
            <w:tcW w:type="dxa" w:w="696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Assessment complete</w:t>
            </w:r>
          </w:p>
        </w:tc>
        <w:tc>
          <w:tcPr>
            <w:tcW w:type="dxa" w:w="240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2026-09-15</w:t>
            </w:r>
          </w:p>
        </w:tc>
      </w:tr>
      <w:tr>
        <w:tc>
          <w:tcPr>
            <w:tcW w:type="dxa" w:w="6960"/>
            <w:tcBorders>
              <w:top w:val="single" w:color="D9CFC3" w:sz="4"/>
              <w:left w:val="single" w:color="D9CFC3" w:sz="4"/>
              <w:bottom w:val="single" w:color="D9CFC3" w:sz="4"/>
              <w:right w:val="single" w:color="D9CFC3" w:sz="4"/>
            </w:tcBorders>
            <w:shd w:fill="FBF3EA"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Draft deliverables delivered</w:t>
            </w:r>
          </w:p>
        </w:tc>
        <w:tc>
          <w:tcPr>
            <w:tcW w:type="dxa" w:w="2400"/>
            <w:tcBorders>
              <w:top w:val="single" w:color="D9CFC3" w:sz="4"/>
              <w:left w:val="single" w:color="D9CFC3" w:sz="4"/>
              <w:bottom w:val="single" w:color="D9CFC3" w:sz="4"/>
              <w:right w:val="single" w:color="D9CFC3" w:sz="4"/>
            </w:tcBorders>
            <w:shd w:fill="FBF3EA"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2026-10-01</w:t>
            </w:r>
          </w:p>
        </w:tc>
      </w:tr>
      <w:tr>
        <w:tc>
          <w:tcPr>
            <w:tcW w:type="dxa" w:w="696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Client review period ends</w:t>
            </w:r>
          </w:p>
        </w:tc>
        <w:tc>
          <w:tcPr>
            <w:tcW w:type="dxa" w:w="240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2026-10-15</w:t>
            </w:r>
          </w:p>
        </w:tc>
      </w:tr>
      <w:tr>
        <w:tc>
          <w:tcPr>
            <w:tcW w:type="dxa" w:w="6960"/>
            <w:tcBorders>
              <w:top w:val="single" w:color="D9CFC3" w:sz="4"/>
              <w:left w:val="single" w:color="D9CFC3" w:sz="4"/>
              <w:bottom w:val="single" w:color="D9CFC3" w:sz="4"/>
              <w:right w:val="single" w:color="D9CFC3" w:sz="4"/>
            </w:tcBorders>
            <w:shd w:fill="FBF3EA"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Final deliverables delivered</w:t>
            </w:r>
          </w:p>
        </w:tc>
        <w:tc>
          <w:tcPr>
            <w:tcW w:type="dxa" w:w="2400"/>
            <w:tcBorders>
              <w:top w:val="single" w:color="D9CFC3" w:sz="4"/>
              <w:left w:val="single" w:color="D9CFC3" w:sz="4"/>
              <w:bottom w:val="single" w:color="D9CFC3" w:sz="4"/>
              <w:right w:val="single" w:color="D9CFC3" w:sz="4"/>
            </w:tcBorders>
            <w:shd w:fill="FBF3EA"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2026-11-01</w:t>
            </w:r>
          </w:p>
        </w:tc>
      </w:tr>
      <w:tr>
        <w:tc>
          <w:tcPr>
            <w:tcW w:type="dxa" w:w="696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Engagement closeout</w:t>
            </w:r>
          </w:p>
        </w:tc>
        <w:tc>
          <w:tcPr>
            <w:tcW w:type="dxa" w:w="240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2026-11-01</w:t>
            </w:r>
          </w:p>
        </w:tc>
      </w:tr>
    </w:tbl>
    <w:p>
      <w:pPr>
        <w:pStyle w:val="Heading1"/>
        <w:pBdr>
          <w:bottom w:val="single" w:color="C2653A" w:sz="6" w:space="6"/>
        </w:pBdr>
        <w:spacing w:after="140" w:before="320"/>
      </w:pPr>
      <w:r>
        <w:rPr>
          <w:rFonts w:ascii="Arial" w:cs="Arial" w:eastAsia="Arial" w:hAnsi="Arial"/>
          <w:b/>
          <w:bCs/>
          <w:color w:val="C2653A"/>
          <w:sz w:val="22"/>
          <w:szCs w:val="22"/>
        </w:rPr>
        <w:t xml:space="preserve">5. FEES</w:t>
      </w:r>
    </w:p>
    <w:p>
      <w:pPr>
        <w:pStyle w:val="Heading2"/>
        <w:spacing w:after="100" w:before="200"/>
      </w:pPr>
      <w:r>
        <w:rPr>
          <w:rFonts w:ascii="Arial" w:cs="Arial" w:eastAsia="Arial" w:hAnsi="Arial"/>
          <w:b/>
          <w:bCs/>
          <w:color w:val="1A1512"/>
          <w:sz w:val="20"/>
          <w:szCs w:val="20"/>
        </w:rPr>
        <w:t xml:space="preserve">5.1  Engagement Fee</w:t>
      </w:r>
    </w:p>
    <w:p>
      <w:pPr>
        <w:spacing w:after="160"/>
      </w:pPr>
      <w:r>
        <w:rPr>
          <w:rFonts w:ascii="Arial" w:cs="Arial" w:eastAsia="Arial" w:hAnsi="Arial"/>
          <w:color w:val="5A5550"/>
          <w:sz w:val="20"/>
          <w:szCs w:val="20"/>
        </w:rPr>
        <w:t xml:space="preserve">The total fixed fee for the services described in this SOW is </w:t>
      </w:r>
      <w:r>
        <w:rPr>
          <w:rFonts w:ascii="Arial" w:cs="Arial" w:eastAsia="Arial" w:hAnsi="Arial"/>
          <w:b/>
          <w:bCs/>
          <w:color w:val="1A1512"/>
          <w:sz w:val="20"/>
          <w:szCs w:val="20"/>
        </w:rPr>
        <w:t xml:space="preserve">$7,000</w:t>
      </w:r>
      <w:r>
        <w:rPr>
          <w:rFonts w:ascii="Arial" w:cs="Arial" w:eastAsia="Arial" w:hAnsi="Arial"/>
          <w:color w:val="5A5550"/>
          <w:sz w:val="20"/>
          <w:szCs w:val="20"/>
        </w:rPr>
        <w:t xml:space="preserve">.</w:t>
      </w:r>
    </w:p>
    <w:p>
      <w:pPr>
        <w:pStyle w:val="Heading2"/>
        <w:spacing w:after="100" w:before="200"/>
      </w:pPr>
      <w:r>
        <w:rPr>
          <w:rFonts w:ascii="Arial" w:cs="Arial" w:eastAsia="Arial" w:hAnsi="Arial"/>
          <w:b/>
          <w:bCs/>
          <w:color w:val="1A1512"/>
          <w:sz w:val="20"/>
          <w:szCs w:val="20"/>
        </w:rPr>
        <w:t xml:space="preserve">5.2  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2200"/>
        <w:gridCol w:w="2200"/>
      </w:tblGrid>
      <w:tr>
        <w:trPr>
          <w:tblHeader/>
        </w:trPr>
        <w:tc>
          <w:tcPr>
            <w:tcW w:type="dxa" w:w="4960"/>
            <w:tcBorders>
              <w:top w:val="single" w:color="D9CFC3" w:sz="4"/>
              <w:left w:val="single" w:color="D9CFC3" w:sz="4"/>
              <w:bottom w:val="single" w:color="D9CFC3" w:sz="4"/>
              <w:right w:val="single" w:color="D9CFC3" w:sz="4"/>
            </w:tcBorders>
            <w:shd w:fill="1A1512" w:val="clear"/>
            <w:tcMar>
              <w:top w:type="dxa" w:w="100"/>
              <w:left w:type="dxa" w:w="120"/>
              <w:bottom w:type="dxa" w:w="100"/>
              <w:right w:type="dxa" w:w="120"/>
            </w:tcMar>
            <w:vAlign w:val="center"/>
          </w:tcPr>
          <w:p>
            <w:r>
              <w:rPr>
                <w:rFonts w:ascii="Arial" w:cs="Arial" w:eastAsia="Arial" w:hAnsi="Arial"/>
                <w:b/>
                <w:bCs/>
                <w:color w:val="FFFFFF"/>
                <w:sz w:val="17"/>
                <w:szCs w:val="17"/>
              </w:rPr>
              <w:t xml:space="preserve">Milestone</w:t>
            </w:r>
          </w:p>
        </w:tc>
        <w:tc>
          <w:tcPr>
            <w:tcW w:type="dxa" w:w="2200"/>
            <w:tcBorders>
              <w:top w:val="single" w:color="D9CFC3" w:sz="4"/>
              <w:left w:val="single" w:color="D9CFC3" w:sz="4"/>
              <w:bottom w:val="single" w:color="D9CFC3" w:sz="4"/>
              <w:right w:val="single" w:color="D9CFC3" w:sz="4"/>
            </w:tcBorders>
            <w:shd w:fill="1A1512" w:val="clear"/>
            <w:tcMar>
              <w:top w:type="dxa" w:w="100"/>
              <w:left w:type="dxa" w:w="120"/>
              <w:bottom w:type="dxa" w:w="100"/>
              <w:right w:type="dxa" w:w="120"/>
            </w:tcMar>
            <w:vAlign w:val="center"/>
          </w:tcPr>
          <w:p>
            <w:r>
              <w:rPr>
                <w:rFonts w:ascii="Arial" w:cs="Arial" w:eastAsia="Arial" w:hAnsi="Arial"/>
                <w:b/>
                <w:bCs/>
                <w:color w:val="FFFFFF"/>
                <w:sz w:val="17"/>
                <w:szCs w:val="17"/>
              </w:rPr>
              <w:t xml:space="preserve">Amount</w:t>
            </w:r>
          </w:p>
        </w:tc>
        <w:tc>
          <w:tcPr>
            <w:tcW w:type="dxa" w:w="2200"/>
            <w:tcBorders>
              <w:top w:val="single" w:color="D9CFC3" w:sz="4"/>
              <w:left w:val="single" w:color="D9CFC3" w:sz="4"/>
              <w:bottom w:val="single" w:color="D9CFC3" w:sz="4"/>
              <w:right w:val="single" w:color="D9CFC3" w:sz="4"/>
            </w:tcBorders>
            <w:shd w:fill="1A1512" w:val="clear"/>
            <w:tcMar>
              <w:top w:type="dxa" w:w="100"/>
              <w:left w:type="dxa" w:w="120"/>
              <w:bottom w:type="dxa" w:w="100"/>
              <w:right w:type="dxa" w:w="120"/>
            </w:tcMar>
            <w:vAlign w:val="center"/>
          </w:tcPr>
          <w:p>
            <w:r>
              <w:rPr>
                <w:rFonts w:ascii="Arial" w:cs="Arial" w:eastAsia="Arial" w:hAnsi="Arial"/>
                <w:b/>
                <w:bCs/>
                <w:color w:val="FFFFFF"/>
                <w:sz w:val="17"/>
                <w:szCs w:val="17"/>
              </w:rPr>
              <w:t xml:space="preserve">Due</w:t>
            </w:r>
          </w:p>
        </w:tc>
      </w:tr>
      <w:tr>
        <w:tc>
          <w:tcPr>
            <w:tcW w:type="dxa" w:w="496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Contract execution (deposit)</w:t>
            </w:r>
          </w:p>
        </w:tc>
        <w:tc>
          <w:tcPr>
            <w:tcW w:type="dxa" w:w="220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bCs/>
                <w:color w:val="1A1512"/>
                <w:sz w:val="18"/>
                <w:szCs w:val="18"/>
              </w:rPr>
              <w:t xml:space="preserve">$3,500 (50%)</w:t>
            </w:r>
          </w:p>
        </w:tc>
        <w:tc>
          <w:tcPr>
            <w:tcW w:type="dxa" w:w="2200"/>
            <w:tcBorders>
              <w:top w:val="single" w:color="D9CFC3" w:sz="4"/>
              <w:left w:val="single" w:color="D9CFC3" w:sz="4"/>
              <w:bottom w:val="single" w:color="D9CFC3" w:sz="4"/>
              <w:right w:val="single" w:color="D9CFC3" w:sz="4"/>
            </w:tcBorders>
            <w:shd w:fill="FFFFFF"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2026-07-01</w:t>
            </w:r>
          </w:p>
        </w:tc>
      </w:tr>
      <w:tr>
        <w:tc>
          <w:tcPr>
            <w:tcW w:type="dxa" w:w="4960"/>
            <w:tcBorders>
              <w:top w:val="single" w:color="D9CFC3" w:sz="4"/>
              <w:left w:val="single" w:color="D9CFC3" w:sz="4"/>
              <w:bottom w:val="single" w:color="D9CFC3" w:sz="4"/>
              <w:right w:val="single" w:color="D9CFC3" w:sz="4"/>
            </w:tcBorders>
            <w:shd w:fill="FBF3EA"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Final report delivery</w:t>
            </w:r>
          </w:p>
        </w:tc>
        <w:tc>
          <w:tcPr>
            <w:tcW w:type="dxa" w:w="2200"/>
            <w:tcBorders>
              <w:top w:val="single" w:color="D9CFC3" w:sz="4"/>
              <w:left w:val="single" w:color="D9CFC3" w:sz="4"/>
              <w:bottom w:val="single" w:color="D9CFC3" w:sz="4"/>
              <w:right w:val="single" w:color="D9CFC3" w:sz="4"/>
            </w:tcBorders>
            <w:shd w:fill="FBF3EA" w:val="clear"/>
            <w:tcMar>
              <w:top w:type="dxa" w:w="90"/>
              <w:left w:type="dxa" w:w="120"/>
              <w:bottom w:type="dxa" w:w="90"/>
              <w:right w:type="dxa" w:w="120"/>
            </w:tcMar>
            <w:vAlign w:val="center"/>
          </w:tcPr>
          <w:p>
            <w:r>
              <w:rPr>
                <w:rFonts w:ascii="Arial" w:cs="Arial" w:eastAsia="Arial" w:hAnsi="Arial"/>
                <w:b/>
                <w:bCs/>
                <w:color w:val="1A1512"/>
                <w:sz w:val="18"/>
                <w:szCs w:val="18"/>
              </w:rPr>
              <w:t xml:space="preserve">$3,500 (50%)</w:t>
            </w:r>
          </w:p>
        </w:tc>
        <w:tc>
          <w:tcPr>
            <w:tcW w:type="dxa" w:w="2200"/>
            <w:tcBorders>
              <w:top w:val="single" w:color="D9CFC3" w:sz="4"/>
              <w:left w:val="single" w:color="D9CFC3" w:sz="4"/>
              <w:bottom w:val="single" w:color="D9CFC3" w:sz="4"/>
              <w:right w:val="single" w:color="D9CFC3" w:sz="4"/>
            </w:tcBorders>
            <w:shd w:fill="FBF3EA" w:val="clear"/>
            <w:tcMar>
              <w:top w:type="dxa" w:w="90"/>
              <w:left w:type="dxa" w:w="120"/>
              <w:bottom w:type="dxa" w:w="90"/>
              <w:right w:type="dxa" w:w="120"/>
            </w:tcMar>
            <w:vAlign w:val="center"/>
          </w:tcPr>
          <w:p>
            <w:r>
              <w:rPr>
                <w:rFonts w:ascii="Arial" w:cs="Arial" w:eastAsia="Arial" w:hAnsi="Arial"/>
                <w:b w:val="false"/>
                <w:bCs w:val="false"/>
                <w:color w:val="1A1512"/>
                <w:sz w:val="18"/>
                <w:szCs w:val="18"/>
              </w:rPr>
              <w:t xml:space="preserve">2026-11-01</w:t>
            </w:r>
          </w:p>
        </w:tc>
      </w:tr>
    </w:tbl>
    <w:p>
      <w:pPr>
        <w:pStyle w:val="Heading2"/>
        <w:spacing w:after="100" w:before="200"/>
      </w:pPr>
      <w:r>
        <w:rPr>
          <w:rFonts w:ascii="Arial" w:cs="Arial" w:eastAsia="Arial" w:hAnsi="Arial"/>
          <w:b/>
          <w:bCs/>
          <w:color w:val="1A1512"/>
          <w:sz w:val="20"/>
          <w:szCs w:val="20"/>
        </w:rPr>
        <w:t xml:space="preserve">5.3  Out-of-Scope Work</w:t>
      </w:r>
    </w:p>
    <w:p>
      <w:pPr>
        <w:spacing w:after="140"/>
      </w:pPr>
      <w:r>
        <w:rPr>
          <w:rFonts w:ascii="Arial" w:cs="Arial" w:eastAsia="Arial" w:hAnsi="Arial"/>
          <w:color w:val="5A5550"/>
          <w:sz w:val="20"/>
          <w:szCs w:val="20"/>
        </w:rPr>
        <w:t xml:space="preserve">Any work outside the scope defined in Section 2 requires a written change order signed by both parties prior to execution. Vulnaguard’s standard hourly rate for out-of-scope work is $200 per hour.</w:t>
      </w:r>
    </w:p>
    <w:p>
      <w:pPr>
        <w:pStyle w:val="Heading2"/>
        <w:spacing w:after="100" w:before="200"/>
      </w:pPr>
      <w:r>
        <w:rPr>
          <w:rFonts w:ascii="Arial" w:cs="Arial" w:eastAsia="Arial" w:hAnsi="Arial"/>
          <w:b/>
          <w:bCs/>
          <w:color w:val="1A1512"/>
          <w:sz w:val="20"/>
          <w:szCs w:val="20"/>
        </w:rPr>
        <w:t xml:space="preserve">5.4  Expenses</w:t>
      </w:r>
    </w:p>
    <w:p>
      <w:pPr>
        <w:spacing w:after="140"/>
      </w:pPr>
      <w:r>
        <w:rPr>
          <w:rFonts w:ascii="Arial" w:cs="Arial" w:eastAsia="Arial" w:hAnsi="Arial"/>
          <w:color w:val="5A5550"/>
          <w:sz w:val="20"/>
          <w:szCs w:val="20"/>
        </w:rPr>
        <w:t xml:space="preserve">Out-of-pocket travel and lodging expenses (if any) are billed at cost with prior written approval from Client.</w:t>
      </w:r>
    </w:p>
    <w:p>
      <w:pPr>
        <w:pStyle w:val="Heading1"/>
        <w:pBdr>
          <w:bottom w:val="single" w:color="C2653A" w:sz="6" w:space="6"/>
        </w:pBdr>
        <w:spacing w:after="140" w:before="320"/>
      </w:pPr>
      <w:r>
        <w:rPr>
          <w:rFonts w:ascii="Arial" w:cs="Arial" w:eastAsia="Arial" w:hAnsi="Arial"/>
          <w:b/>
          <w:bCs/>
          <w:color w:val="C2653A"/>
          <w:sz w:val="22"/>
          <w:szCs w:val="22"/>
        </w:rPr>
        <w:t xml:space="preserve">6. CONFIDENTIALITY</w:t>
      </w:r>
    </w:p>
    <w:p>
      <w:pPr>
        <w:spacing w:after="140"/>
      </w:pPr>
      <w:r>
        <w:rPr>
          <w:rFonts w:ascii="Arial" w:cs="Arial" w:eastAsia="Arial" w:hAnsi="Arial"/>
          <w:color w:val="5A5550"/>
          <w:sz w:val="20"/>
          <w:szCs w:val="20"/>
        </w:rPr>
        <w:t xml:space="preserve">All information exchanged under this SOW is governed by the confidentiality provisions of the MSA. Client data and engagement artifacts are treated as confidential and retained per Vulnaguard’s data retention policy.</w:t>
      </w:r>
    </w:p>
    <w:p>
      <w:pPr>
        <w:pStyle w:val="Heading1"/>
        <w:pBdr>
          <w:bottom w:val="single" w:color="C2653A" w:sz="6" w:space="6"/>
        </w:pBdr>
        <w:spacing w:after="140" w:before="320"/>
      </w:pPr>
      <w:r>
        <w:rPr>
          <w:rFonts w:ascii="Arial" w:cs="Arial" w:eastAsia="Arial" w:hAnsi="Arial"/>
          <w:b/>
          <w:bCs/>
          <w:color w:val="C2653A"/>
          <w:sz w:val="22"/>
          <w:szCs w:val="22"/>
        </w:rPr>
        <w:t xml:space="preserve">7. LIMITATION OF LIABILITY</w:t>
      </w:r>
    </w:p>
    <w:p>
      <w:pPr>
        <w:spacing w:after="140"/>
      </w:pPr>
      <w:r>
        <w:rPr>
          <w:rFonts w:ascii="Arial" w:cs="Arial" w:eastAsia="Arial" w:hAnsi="Arial"/>
          <w:color w:val="5A5550"/>
          <w:sz w:val="20"/>
          <w:szCs w:val="20"/>
        </w:rPr>
        <w:t xml:space="preserve">Vulnaguard’s liability under this SOW is limited as set forth in the MSA.</w:t>
      </w:r>
    </w:p>
    <w:p>
      <w:pPr>
        <w:pageBreakBefore/>
      </w:pPr>
    </w:p>
    <w:p>
      <w:pPr>
        <w:pStyle w:val="Heading1"/>
        <w:pBdr>
          <w:bottom w:val="single" w:color="C2653A" w:sz="6" w:space="6"/>
        </w:pBdr>
        <w:spacing w:after="140" w:before="320"/>
      </w:pPr>
      <w:r>
        <w:rPr>
          <w:rFonts w:ascii="Arial" w:cs="Arial" w:eastAsia="Arial" w:hAnsi="Arial"/>
          <w:b/>
          <w:bCs/>
          <w:color w:val="C2653A"/>
          <w:sz w:val="22"/>
          <w:szCs w:val="22"/>
        </w:rPr>
        <w:t xml:space="preserve">8. SIGNATURES</w:t>
      </w:r>
    </w:p>
    <w:p>
      <w:pPr>
        <w:spacing w:after="140"/>
      </w:pPr>
      <w:r>
        <w:rPr>
          <w:rFonts w:ascii="Arial" w:cs="Arial" w:eastAsia="Arial" w:hAnsi="Arial"/>
          <w:color w:val="5A5550"/>
          <w:sz w:val="20"/>
          <w:szCs w:val="20"/>
        </w:rPr>
        <w:t xml:space="preserve">By signing below, both parties agree to the terms of this Statement of Work.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720"/>
        <w:gridCol w:w="4080"/>
      </w:tblGrid>
      <w:tr>
        <w:tc>
          <w:tcPr>
            <w:tcW w:type="dxa" w:w="4560"/>
            <w:tcBorders>
              <w:top w:val="none" w:color="FFFFFF" w:sz="0"/>
              <w:left w:val="none" w:color="FFFFFF" w:sz="0"/>
              <w:bottom w:val="none" w:color="FFFFFF" w:sz="0"/>
              <w:right w:val="none" w:color="FFFFFF" w:sz="0"/>
            </w:tcBorders>
          </w:tcPr>
          <w:p>
            <w:pPr>
              <w:spacing w:after="40" w:before="260"/>
            </w:pPr>
            <w:r>
              <w:rPr>
                <w:rFonts w:ascii="Arial" w:cs="Arial" w:eastAsia="Arial" w:hAnsi="Arial"/>
                <w:b/>
                <w:bCs/>
                <w:color w:val="C2653A"/>
                <w:sz w:val="18"/>
                <w:szCs w:val="18"/>
              </w:rPr>
              <w:t xml:space="preserve">AFTERSWING (CLIENT)</w:t>
            </w:r>
          </w:p>
          <w:p>
            <w:pPr>
              <w:pBdr>
                <w:bottom w:val="single" w:color="D9CFC3" w:sz="4" w:space="1"/>
              </w:pBdr>
              <w:spacing w:after="40" w:before="260"/>
            </w:pPr>
            <w:r>
              <w:rPr>
                <w:rFonts w:ascii="Arial" w:cs="Arial" w:eastAsia="Arial" w:hAnsi="Arial"/>
                <w:color w:val="9A8F82"/>
                <w:sz w:val="16"/>
                <w:szCs w:val="16"/>
              </w:rPr>
              <w:t xml:space="preserve">Signature</w:t>
            </w:r>
          </w:p>
          <w:p>
            <w:pPr>
              <w:pBdr>
                <w:bottom w:val="single" w:color="D9CFC3" w:sz="4" w:space="1"/>
              </w:pBdr>
              <w:spacing w:after="40" w:before="200"/>
            </w:pPr>
            <w:r>
              <w:rPr>
                <w:rFonts w:ascii="Arial" w:cs="Arial" w:eastAsia="Arial" w:hAnsi="Arial"/>
                <w:color w:val="9A8F82"/>
                <w:sz w:val="18"/>
                <w:szCs w:val="18"/>
              </w:rPr>
              <w:t xml:space="preserve">Printed Name:  </w:t>
            </w:r>
            <w:r>
              <w:rPr>
                <w:rFonts w:ascii="Arial" w:cs="Arial" w:eastAsia="Arial" w:hAnsi="Arial"/>
                <w:b/>
                <w:bCs/>
                <w:color w:val="1A1512"/>
                <w:sz w:val="18"/>
                <w:szCs w:val="18"/>
              </w:rPr>
              <w:t xml:space="preserve">Don Weston</w:t>
            </w:r>
          </w:p>
          <w:p>
            <w:pPr>
              <w:pBdr>
                <w:bottom w:val="single" w:color="D9CFC3" w:sz="4" w:space="1"/>
              </w:pBdr>
              <w:spacing w:after="40" w:before="200"/>
            </w:pPr>
            <w:r>
              <w:rPr>
                <w:rFonts w:ascii="Arial" w:cs="Arial" w:eastAsia="Arial" w:hAnsi="Arial"/>
                <w:color w:val="9A8F82"/>
                <w:sz w:val="16"/>
                <w:szCs w:val="16"/>
              </w:rPr>
              <w:t xml:space="preserve">Title</w:t>
            </w:r>
          </w:p>
          <w:p>
            <w:pPr>
              <w:pBdr>
                <w:bottom w:val="single" w:color="D9CFC3" w:sz="4" w:space="1"/>
              </w:pBdr>
              <w:spacing w:after="40" w:before="200"/>
            </w:pPr>
            <w:r>
              <w:rPr>
                <w:rFonts w:ascii="Arial" w:cs="Arial" w:eastAsia="Arial" w:hAnsi="Arial"/>
                <w:color w:val="9A8F82"/>
                <w:sz w:val="16"/>
                <w:szCs w:val="16"/>
              </w:rPr>
              <w:t xml:space="preserve">Date</w:t>
            </w:r>
          </w:p>
        </w:tc>
        <w:tc>
          <w:tcPr>
            <w:tcW w:type="dxa" w:w="720"/>
            <w:tcBorders>
              <w:top w:val="none" w:color="FFFFFF" w:sz="0"/>
              <w:left w:val="none" w:color="FFFFFF" w:sz="0"/>
              <w:bottom w:val="none" w:color="FFFFFF" w:sz="0"/>
              <w:right w:val="none" w:color="FFFFFF" w:sz="0"/>
            </w:tcBorders>
          </w:tcPr>
          <w:p>
            <w:r>
              <w:t xml:space="preserve"/>
            </w:r>
          </w:p>
        </w:tc>
        <w:tc>
          <w:tcPr>
            <w:tcW w:type="dxa" w:w="4080"/>
            <w:tcBorders>
              <w:top w:val="none" w:color="FFFFFF" w:sz="0"/>
              <w:left w:val="none" w:color="FFFFFF" w:sz="0"/>
              <w:bottom w:val="none" w:color="FFFFFF" w:sz="0"/>
              <w:right w:val="none" w:color="FFFFFF" w:sz="0"/>
            </w:tcBorders>
          </w:tcPr>
          <w:p>
            <w:pPr>
              <w:spacing w:after="40" w:before="260"/>
            </w:pPr>
            <w:r>
              <w:rPr>
                <w:rFonts w:ascii="Arial" w:cs="Arial" w:eastAsia="Arial" w:hAnsi="Arial"/>
                <w:b/>
                <w:bCs/>
                <w:color w:val="C2653A"/>
                <w:sz w:val="18"/>
                <w:szCs w:val="18"/>
              </w:rPr>
              <w:t xml:space="preserve">VULNAGUARD LLC</w:t>
            </w:r>
          </w:p>
          <w:p>
            <w:pPr>
              <w:pBdr>
                <w:bottom w:val="single" w:color="D9CFC3" w:sz="4" w:space="1"/>
              </w:pBdr>
              <w:spacing w:after="40" w:before="260"/>
            </w:pPr>
            <w:r>
              <w:rPr>
                <w:rFonts w:ascii="Arial" w:cs="Arial" w:eastAsia="Arial" w:hAnsi="Arial"/>
                <w:color w:val="9A8F82"/>
                <w:sz w:val="16"/>
                <w:szCs w:val="16"/>
              </w:rPr>
              <w:t xml:space="preserve">Signature</w:t>
            </w:r>
          </w:p>
          <w:p>
            <w:pPr>
              <w:pBdr>
                <w:bottom w:val="single" w:color="D9CFC3" w:sz="4" w:space="1"/>
              </w:pBdr>
              <w:spacing w:after="40" w:before="200"/>
            </w:pPr>
            <w:r>
              <w:rPr>
                <w:rFonts w:ascii="Arial" w:cs="Arial" w:eastAsia="Arial" w:hAnsi="Arial"/>
                <w:color w:val="9A8F82"/>
                <w:sz w:val="18"/>
                <w:szCs w:val="18"/>
              </w:rPr>
              <w:t xml:space="preserve">Printed Name:  </w:t>
            </w:r>
            <w:r>
              <w:rPr>
                <w:rFonts w:ascii="Arial" w:cs="Arial" w:eastAsia="Arial" w:hAnsi="Arial"/>
                <w:b/>
                <w:bCs/>
                <w:color w:val="1A1512"/>
                <w:sz w:val="18"/>
                <w:szCs w:val="18"/>
              </w:rPr>
              <w:t xml:space="preserve">Sean Murrill</w:t>
            </w:r>
          </w:p>
          <w:p>
            <w:pPr>
              <w:pBdr>
                <w:bottom w:val="single" w:color="D9CFC3" w:sz="4" w:space="1"/>
              </w:pBdr>
              <w:spacing w:after="40" w:before="200"/>
            </w:pPr>
            <w:r>
              <w:rPr>
                <w:rFonts w:ascii="Arial" w:cs="Arial" w:eastAsia="Arial" w:hAnsi="Arial"/>
                <w:color w:val="9A8F82"/>
                <w:sz w:val="16"/>
                <w:szCs w:val="16"/>
              </w:rPr>
              <w:t xml:space="preserve">Title</w:t>
            </w:r>
          </w:p>
          <w:p>
            <w:pPr>
              <w:pBdr>
                <w:bottom w:val="single" w:color="D9CFC3" w:sz="4" w:space="1"/>
              </w:pBdr>
              <w:spacing w:after="40" w:before="200"/>
            </w:pPr>
            <w:r>
              <w:rPr>
                <w:rFonts w:ascii="Arial" w:cs="Arial" w:eastAsia="Arial" w:hAnsi="Arial"/>
                <w:color w:val="9A8F82"/>
                <w:sz w:val="16"/>
                <w:szCs w:val="16"/>
              </w:rPr>
              <w:t xml:space="preserve">Date</w:t>
            </w:r>
          </w:p>
        </w:tc>
      </w:tr>
    </w:tbl>
    <w:sectPr>
      <w:footerReference w:type="default" r:id="rId7"/>
      <w:pgSz w:w="12240" w:h="15840" w:orient="portrait"/>
      <w:pgMar w:top="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C3" w:sz="4" w:space="6"/>
      </w:pBdr>
      <w:jc w:val="center"/>
    </w:pPr>
    <w:r>
      <w:rPr>
        <w:rFonts w:ascii="Arial" w:cs="Arial" w:eastAsia="Arial" w:hAnsi="Arial"/>
        <w:color w:val="9A8F82"/>
        <w:sz w:val="14"/>
        <w:szCs w:val="14"/>
      </w:rPr>
      <w:t xml:space="preserve">Vulnaguard LLC  ·  SOW VG-2026-001  ·  Confidential  ·  Page </w:t>
    </w:r>
    <w:r>
      <w:rPr>
        <w:rFonts w:ascii="Arial" w:cs="Arial" w:eastAsia="Arial" w:hAnsi="Arial"/>
        <w:color w:val="9A8F82"/>
        <w:sz w:val="14"/>
        <w:szCs w:val="14"/>
      </w:rPr>
      <w:fldChar w:fldCharType="begin"/>
      <w:instrText xml:space="preserve">PAGE</w:instrText>
      <w:fldChar w:fldCharType="separate"/>
      <w:fldChar w:fldCharType="end"/>
    </w:r>
    <w:r>
      <w:rPr>
        <w:rFonts w:ascii="Arial" w:cs="Arial" w:eastAsia="Arial" w:hAnsi="Arial"/>
        <w:color w:val="9A8F82"/>
        <w:sz w:val="14"/>
        <w:szCs w:val="14"/>
      </w:rPr>
      <w:t xml:space="preserve"> of </w:t>
    </w:r>
    <w:r>
      <w:rPr>
        <w:rFonts w:ascii="Arial" w:cs="Arial" w:eastAsia="Arial" w:hAnsi="Arial"/>
        <w:color w:val="9A8F8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rPr>
        <w:color w:val="C2653A"/>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51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C2653A"/>
      <w:sz w:val="22"/>
      <w:szCs w:val="22"/>
    </w:rPr>
  </w:style>
  <w:style w:type="paragraph" w:styleId="Heading2">
    <w:name w:val="Heading 2"/>
    <w:basedOn w:val="Normal"/>
    <w:next w:val="Normal"/>
    <w:qFormat/>
    <w:pPr>
      <w:spacing w:after="100" w:before="200"/>
      <w:outlineLvl w:val="1"/>
    </w:pPr>
    <w:rPr>
      <w:rFonts w:ascii="Arial" w:cs="Arial" w:eastAsia="Arial" w:hAnsi="Arial"/>
      <w:b/>
      <w:bCs/>
      <w:color w:val="1A151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2026-07-01T01:34:25.402Z</dcterms:created>
  <dcterms:modified xsi:type="dcterms:W3CDTF">2026-07-01T01:34:25.415Z</dcterms:modified>
</cp:coreProperties>
</file>

<file path=docProps/custom.xml><?xml version="1.0" encoding="utf-8"?>
<Properties xmlns="http://schemas.openxmlformats.org/officeDocument/2006/custom-properties" xmlns:vt="http://schemas.openxmlformats.org/officeDocument/2006/docPropsVTypes"/>
</file>