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Executive Summary</w:t>
      </w:r>
    </w:p>
    <w:bookmarkStart w:id="20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NIST SP 800-171 Gap Assessment</w:t>
      </w:r>
      <w:r>
        <w:t xml:space="preserve"> </w:t>
      </w:r>
      <w:r>
        <w:rPr>
          <w:b/>
          <w:bCs/>
        </w:rPr>
        <w:t xml:space="preserve">AfterSwing</w:t>
      </w:r>
      <w:r>
        <w:t xml:space="preserve"> </w:t>
      </w:r>
      <w:r>
        <w:rPr>
          <w:b/>
          <w:bCs/>
        </w:rPr>
        <w:t xml:space="preserve">Assessment Period:</w:t>
      </w:r>
      <w:r>
        <w:t xml:space="preserve"> </w:t>
      </w:r>
      <w:r>
        <w:t xml:space="preserve">2026-07-01 – 2026-11-01</w:t>
      </w:r>
      <w:r>
        <w:t xml:space="preserve"> </w:t>
      </w:r>
      <w:r>
        <w:rPr>
          <w:b/>
          <w:bCs/>
        </w:rPr>
        <w:t xml:space="preserve">Report Date:</w:t>
      </w:r>
      <w:r>
        <w:t xml:space="preserve"> </w:t>
      </w:r>
      <w:r>
        <w:t xml:space="preserve">{{REPORT_DATE}}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Vulnaguard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v1.0</w:t>
      </w:r>
      <w:r>
        <w:t xml:space="preserve"> </w:t>
      </w:r>
      <w:r>
        <w:rPr>
          <w:b/>
          <w:bCs/>
        </w:rPr>
        <w:t xml:space="preserve">Classification:</w:t>
      </w:r>
      <w:r>
        <w:t xml:space="preserve"> </w:t>
      </w:r>
      <w:r>
        <w:t xml:space="preserve">Confidential</w:t>
      </w:r>
    </w:p>
    <w:p>
      <w:r>
        <w:pict>
          <v:rect style="width:0;height:1.5pt" o:hralign="center" o:hrstd="t" o:hr="t"/>
        </w:pic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Vulnaguard was engaged by AfterSwing to conduct a NIST SP 800-171 Gap Assessment. This summary presents the key findings and recommendations for AfterSwing’s leadership team.</w:t>
      </w:r>
    </w:p>
    <w:p>
      <w:r>
        <w:pict>
          <v:rect style="width:0;height:1.5pt" o:hralign="center" o:hrstd="t" o:hr="t"/>
        </w:pict>
      </w:r>
    </w:p>
    <w:bookmarkEnd w:id="9"/>
    <w:bookmarkStart w:id="10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{{BRIEF_SCOPE_DESCRIPTION}}</w:t>
      </w:r>
    </w:p>
    <w:p>
      <w:pPr>
        <w:pStyle w:val="BodyText"/>
      </w:pPr>
      <w:r>
        <w:t xml:space="preserve">The assessment covered 110 NIST SP 800-171 Rev 2 controls across AfterSwing’s in-scope environment.</w:t>
      </w:r>
    </w:p>
    <w:p>
      <w:r>
        <w:pict>
          <v:rect style="width:0;height:1.5pt" o:hralign="center" o:hrstd="t" o:hr="t"/>
        </w:pict>
      </w:r>
    </w:p>
    <w:bookmarkEnd w:id="10"/>
    <w:bookmarkStart w:id="11" w:name="overall-risk-posture"/>
    <w:p>
      <w:pPr>
        <w:pStyle w:val="Heading2"/>
      </w:pPr>
      <w:r>
        <w:t xml:space="preserve">Overall Risk Posture</w:t>
      </w:r>
    </w:p>
    <w:p>
      <w:pPr>
        <w:pStyle w:val="FirstParagraph"/>
      </w:pPr>
      <w:r>
        <w:rPr>
          <w:b/>
          <w:bCs/>
        </w:rPr>
        <w:t xml:space="preserve">{{HIGH RISK / MEDIUM RISK / LOW RISK}}</w:t>
      </w:r>
    </w:p>
    <w:p>
      <w:pPr>
        <w:pStyle w:val="BodyText"/>
      </w:pPr>
      <w:r>
        <w:t xml:space="preserve">{{1–2 sentence plain-language summary of the overall posture.}}</w:t>
      </w:r>
    </w:p>
    <w:p>
      <w:r>
        <w:pict>
          <v:rect style="width:0;height:1.5pt" o:hralign="center" o:hrstd="t" o:hr="t"/>
        </w:pict>
      </w:r>
    </w:p>
    <w:bookmarkEnd w:id="11"/>
    <w:bookmarkStart w:id="12" w:name="key-findings-summary"/>
    <w:p>
      <w:pPr>
        <w:pStyle w:val="Heading2"/>
      </w:pPr>
      <w:r>
        <w:t xml:space="preserve">Key Findings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{{N}}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{{N}}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{{N}}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{{N}}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Informational</w:t>
            </w:r>
          </w:p>
        </w:tc>
        <w:tc>
          <w:tcPr/>
          <w:p>
            <w:pPr>
              <w:pStyle w:val="Compact"/>
            </w:pPr>
            <w:r>
              <w:t xml:space="preserve">{{N}}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6" w:name="top-findings"/>
    <w:p>
      <w:pPr>
        <w:pStyle w:val="Heading2"/>
      </w:pPr>
      <w:r>
        <w:t xml:space="preserve">Top Findings</w:t>
      </w:r>
    </w:p>
    <w:bookmarkStart w:id="13" w:name="finding_title-severity"/>
    <w:p>
      <w:pPr>
        <w:pStyle w:val="Heading3"/>
      </w:pPr>
      <w:r>
        <w:t xml:space="preserve">1. {{FINDING_TITLE}} — {{SEVERITY}}</w:t>
      </w:r>
    </w:p>
    <w:p>
      <w:pPr>
        <w:pStyle w:val="FirstParagraph"/>
      </w:pPr>
      <w:r>
        <w:t xml:space="preserve">{{2–3 sentence plain-language description of the finding and its business impact.}}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{{BRIEF RECOMMENDATION}}</w:t>
      </w:r>
    </w:p>
    <w:p>
      <w:r>
        <w:pict>
          <v:rect style="width:0;height:1.5pt" o:hralign="center" o:hrstd="t" o:hr="t"/>
        </w:pict>
      </w:r>
    </w:p>
    <w:bookmarkEnd w:id="13"/>
    <w:bookmarkStart w:id="14" w:name="finding_title-severity-1"/>
    <w:p>
      <w:pPr>
        <w:pStyle w:val="Heading3"/>
      </w:pPr>
      <w:r>
        <w:t xml:space="preserve">2. {{FINDING_TITLE}} — {{SEVERITY}}</w:t>
      </w:r>
    </w:p>
    <w:p>
      <w:pPr>
        <w:pStyle w:val="FirstParagraph"/>
      </w:pPr>
      <w:r>
        <w:t xml:space="preserve">{{Description and business impact.}}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{{BRIEF RECOMMENDATION}}</w:t>
      </w:r>
    </w:p>
    <w:p>
      <w:r>
        <w:pict>
          <v:rect style="width:0;height:1.5pt" o:hralign="center" o:hrstd="t" o:hr="t"/>
        </w:pict>
      </w:r>
    </w:p>
    <w:bookmarkEnd w:id="14"/>
    <w:bookmarkStart w:id="15" w:name="finding_title-severity-2"/>
    <w:p>
      <w:pPr>
        <w:pStyle w:val="Heading3"/>
      </w:pPr>
      <w:r>
        <w:t xml:space="preserve">3. {{FINDING_TITLE}} — {{SEVERITY}}</w:t>
      </w:r>
    </w:p>
    <w:p>
      <w:pPr>
        <w:pStyle w:val="FirstParagraph"/>
      </w:pPr>
      <w:r>
        <w:t xml:space="preserve">{{Description and business impact.}}</w:t>
      </w:r>
    </w:p>
    <w:p>
      <w:pPr>
        <w:pStyle w:val="BodyText"/>
      </w:pPr>
      <w:r>
        <w:rPr>
          <w:b/>
          <w:bCs/>
        </w:rPr>
        <w:t xml:space="preserve">Recommended Action:</w:t>
      </w:r>
      <w:r>
        <w:t xml:space="preserve"> </w:t>
      </w:r>
      <w:r>
        <w:t xml:space="preserve">{{BRIEF RECOMMENDATION}}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priority-actions"/>
    <w:p>
      <w:pPr>
        <w:pStyle w:val="Heading2"/>
      </w:pPr>
      <w:r>
        <w:t xml:space="preserve">Priority Actions</w:t>
      </w:r>
    </w:p>
    <w:p>
      <w:pPr>
        <w:pStyle w:val="FirstParagraph"/>
      </w:pPr>
      <w:r>
        <w:t xml:space="preserve">The following actions should be resourced immediately: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{{ACTION_1}}</w:t>
      </w:r>
      <w:r>
        <w:t xml:space="preserve"> </w:t>
      </w:r>
      <w:r>
        <w:t xml:space="preserve">— {{BRIEF RATIONALE AND TIMELINE}}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{{ACTION_2}}</w:t>
      </w:r>
      <w:r>
        <w:t xml:space="preserve"> </w:t>
      </w:r>
      <w:r>
        <w:t xml:space="preserve">— {{BRIEF RATIONALE AND TIMELINE}}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{{ACTION_3}}</w:t>
      </w:r>
      <w:r>
        <w:t xml:space="preserve"> </w:t>
      </w:r>
      <w:r>
        <w:t xml:space="preserve">— {{BRIEF RATIONALE AND TIMELINE}}</w:t>
      </w:r>
    </w:p>
    <w:p>
      <w:r>
        <w:pict>
          <v:rect style="width:0;height:1.5pt" o:hralign="center" o:hrstd="t" o:hr="t"/>
        </w:pict>
      </w:r>
    </w:p>
    <w:bookmarkEnd w:id="17"/>
    <w:bookmarkStart w:id="18" w:name="readiness-score"/>
    <w:p>
      <w:pPr>
        <w:pStyle w:val="Heading2"/>
      </w:pPr>
      <w:r>
        <w:t xml:space="preserve">Readiness Score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Score</w:t>
            </w:r>
          </w:p>
        </w:tc>
        <w:tc>
          <w:tcPr/>
          <w:p>
            <w:pPr>
              <w:pStyle w:val="Compact"/>
            </w:pPr>
            <w:r>
              <w:t xml:space="preserve">{{N}} / 110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SPRS Equivalent</w:t>
            </w:r>
          </w:p>
        </w:tc>
        <w:tc>
          <w:tcPr/>
          <w:p>
            <w:pPr>
              <w:pStyle w:val="Compact"/>
            </w:pPr>
            <w:r>
              <w:t xml:space="preserve">{{N}}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Controls Met</w:t>
            </w:r>
          </w:p>
        </w:tc>
        <w:tc>
          <w:tcPr/>
          <w:p>
            <w:pPr>
              <w:pStyle w:val="Compact"/>
            </w:pPr>
            <w:r>
              <w:t xml:space="preserve">{{N}}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Controls Partially Met</w:t>
            </w:r>
          </w:p>
        </w:tc>
        <w:tc>
          <w:tcPr/>
          <w:p>
            <w:pPr>
              <w:pStyle w:val="Compact"/>
            </w:pPr>
            <w:r>
              <w:t xml:space="preserve">{{N}}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Controls Not Met</w:t>
            </w:r>
          </w:p>
        </w:tc>
        <w:tc>
          <w:tcPr/>
          <w:p>
            <w:pPr>
              <w:pStyle w:val="Compact"/>
            </w:pPr>
            <w:r>
              <w:t xml:space="preserve">{{N}}</w:t>
            </w:r>
          </w:p>
        </w:tc>
      </w:tr>
    </w:tbl>
    <w:p>
      <w:pPr>
        <w:pStyle w:val="BodyText"/>
      </w:pPr>
      <w:r>
        <w:t xml:space="preserve">{{1–2 sentences interpreting the score.}}</w:t>
      </w:r>
    </w:p>
    <w:p>
      <w:r>
        <w:pict>
          <v:rect style="width:0;height:1.5pt" o:hralign="center" o:hrstd="t" o:hr="t"/>
        </w:pict>
      </w:r>
    </w:p>
    <w:bookmarkEnd w:id="18"/>
    <w:bookmarkStart w:id="19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2"/>
        </w:numPr>
      </w:pPr>
      <w:r>
        <w:t xml:space="preserve">{{NEXT_STEP_1}} — Due: {{DATE}}</w:t>
      </w:r>
    </w:p>
    <w:p>
      <w:pPr>
        <w:pStyle w:val="Compact"/>
        <w:numPr>
          <w:ilvl w:val="0"/>
          <w:numId w:val="1002"/>
        </w:numPr>
      </w:pPr>
      <w:r>
        <w:t xml:space="preserve">{{NEXT_STEP_2}} — Due: {{DATE}}</w:t>
      </w:r>
    </w:p>
    <w:p>
      <w:pPr>
        <w:pStyle w:val="Compact"/>
        <w:numPr>
          <w:ilvl w:val="0"/>
          <w:numId w:val="1002"/>
        </w:numPr>
      </w:pPr>
      <w:r>
        <w:t xml:space="preserve">{{NEXT_STEP_3}} — Due: {{DATE}}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Executive Summary is an extract from the full NIST SP 800-171 Gap Assessment Report. For detailed findings, evidence, and technical recommendations, refer to the full report. This document is confidential and intended solely for AfterSwing.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Vulnaguard</w:t>
      </w:r>
      <w:r>
        <w:t xml:space="preserve"> </w:t>
      </w:r>
      <w:r>
        <w:t xml:space="preserve">Sean Murrill</w:t>
      </w:r>
      <w:r>
        <w:t xml:space="preserve"> </w:t>
      </w:r>
      <w:r>
        <w:t xml:space="preserve">seanmurrill@vulnaguard.com | {{CONSULTANT_PHONE}}</w:t>
      </w:r>
      <w:r>
        <w:t xml:space="preserve"> </w:t>
      </w:r>
      <w:r>
        <w:rPr>
          <w:b/>
          <w:bCs/>
        </w:rPr>
        <w:t xml:space="preserve">Vulnaguard LLC | vulnaguard.com | seanmurrill@vulnaguard.com | CAGE: 21QQ7 | UEI: CJ7ZXTUSN3W8</w:t>
      </w:r>
    </w:p>
    <w:bookmarkEnd w:id="19"/>
    <w:bookmarkEnd w:id="20"/>
    <w:sectPr>
      <w:pgSz w:h="15840" w:orient="portrait" w:w="12240"/>
      <w:pgMar w:bottom="360" w:footer="708" w:gutter="0" w:header="708" w:left="0" w:right="0" w:top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■"/>
      <w:lvlJc w:val="left"/>
      <w:pPr>
        <w:ind w:hanging="200" w:left="260"/>
      </w:pPr>
      <w:rPr>
        <w:color w:val="C2653A"/>
        <w:sz w:val="14"/>
        <w:szCs w:val="14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512"/>
        <w:sz w:val="20"/>
        <w:szCs w:val="20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Summary</dc:title>
  <dc:creator/>
  <cp:keywords/>
  <dcterms:created xsi:type="dcterms:W3CDTF">2026-07-01T01:07:54Z</dcterms:created>
  <dcterms:modified xsi:type="dcterms:W3CDTF">2026-07-01T01:07:54Z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te_type">
    <vt:lpwstr>executive-summary</vt:lpwstr>
  </property>
  <property fmtid="{D5CDD505-2E9C-101B-9397-08002B2CF9AE}" pid="3" name="updated">
    <vt:lpwstr>2026-06-30</vt:lpwstr>
  </property>
</Properties>
</file>