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 of Action and Milestones (POA&amp;M)</w:t>
      </w:r>
    </w:p>
    <w:bookmarkStart w:id="19" w:name="plan-of-action-and-milestones-poam"/>
    <w:p>
      <w:pPr>
        <w:pStyle w:val="Heading1"/>
      </w:pPr>
      <w:r>
        <w:t xml:space="preserve">Plan of Action and Milestones (POA&amp;M)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AfterSwing</w:t>
      </w:r>
      <w:r>
        <w:t xml:space="preserve"> </w:t>
      </w:r>
      <w:r>
        <w:rPr>
          <w:b/>
          <w:bCs/>
        </w:rPr>
        <w:t xml:space="preserve">Engagement:</w:t>
      </w:r>
      <w:r>
        <w:t xml:space="preserve"> </w:t>
      </w:r>
      <w:r>
        <w:t xml:space="preserve">NIST SP 800-171 Gap Assessment</w:t>
      </w:r>
      <w:r>
        <w:t xml:space="preserve"> </w:t>
      </w:r>
      <w:r>
        <w:rPr>
          <w:b/>
          <w:bCs/>
        </w:rPr>
        <w:t xml:space="preserve">Report Date:</w:t>
      </w:r>
      <w:r>
        <w:t xml:space="preserve"> </w:t>
      </w:r>
      <w:r>
        <w:t xml:space="preserve">{{REPORT_DATE}}</w:t>
      </w:r>
      <w:r>
        <w:t xml:space="preserve"> </w:t>
      </w:r>
      <w:r>
        <w:rPr>
          <w:b/>
          <w:bCs/>
        </w:rPr>
        <w:t xml:space="preserve">POA&amp;M Version:</w:t>
      </w:r>
      <w:r>
        <w:t xml:space="preserve"> </w:t>
      </w:r>
      <w:r>
        <w:t xml:space="preserve">v1.0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Sean Murrill, Vulnaguard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Plan of Action and Milestones documents the corrective actions required to address findings identified during the NIST SP 800-171 Gap Assessment. Each item includes a responsible owner, planned completion date, and milestone steps.</w:t>
      </w:r>
    </w:p>
    <w:p>
      <w:pPr>
        <w:pStyle w:val="BodyText"/>
      </w:pPr>
      <w:r>
        <w:t xml:space="preserve">This document should be updated regularly as items are remediated. Closed items must have evidence of remediation on file.</w:t>
      </w:r>
    </w:p>
    <w:p>
      <w:r>
        <w:pict>
          <v:rect style="width:0;height:1.5pt" o:hralign="center" o:hrstd="t" o:hr="t"/>
        </w:pict>
      </w:r>
    </w:p>
    <w:bookmarkEnd w:id="9"/>
    <w:bookmarkStart w:id="10" w:name="poam-summary"/>
    <w:p>
      <w:pPr>
        <w:pStyle w:val="Heading2"/>
      </w:pPr>
      <w:r>
        <w:t xml:space="preserve">POA&amp;M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poam-items"/>
    <w:p>
      <w:pPr>
        <w:pStyle w:val="Heading2"/>
      </w:pPr>
      <w:r>
        <w:t xml:space="preserve">POA&amp;M Items</w:t>
      </w:r>
    </w:p>
    <w:p>
      <w:pPr>
        <w:pStyle w:val="FirstParagraph"/>
      </w:pPr>
      <w:r>
        <w:rPr>
          <w:i/>
          <w:iCs/>
        </w:rPr>
        <w:t xml:space="preserve">(Sort by severity — Critical first. Use one row per finding. Add rows as needed.)</w:t>
      </w:r>
    </w:p>
    <w:p>
      <w:r>
        <w:pict>
          <v:rect style="width:0;height:1.5pt" o:hralign="center" o:hrstd="t" o:hr="t"/>
        </w:pict>
      </w:r>
    </w:p>
    <w:bookmarkStart w:id="11" w:name="critical-items"/>
    <w:p>
      <w:pPr>
        <w:pStyle w:val="Heading3"/>
      </w:pPr>
      <w:r>
        <w:t xml:space="preserve">Critical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#</w:t>
            </w:r>
          </w:p>
        </w:tc>
        <w:tc>
          <w:tcPr/>
          <w:p>
            <w:pPr>
              <w:pStyle w:val="Compact"/>
            </w:pPr>
            <w:r>
              <w:t xml:space="preserve">Finding / 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Responsible Owner</w:t>
            </w:r>
          </w:p>
        </w:tc>
        <w:tc>
          <w:tcPr/>
          <w:p>
            <w:pPr>
              <w:pStyle w:val="Compact"/>
            </w:pPr>
            <w:r>
              <w:t xml:space="preserve">Planned Completion</w:t>
            </w:r>
          </w:p>
        </w:tc>
        <w:tc>
          <w:tcPr/>
          <w:p>
            <w:pPr>
              <w:pStyle w:val="Compact"/>
            </w:pPr>
            <w:r>
              <w:t xml:space="preserve">Milestones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C-001</w:t>
            </w:r>
          </w:p>
        </w:tc>
        <w:tc>
          <w:tcPr/>
          <w:p>
            <w:pPr>
              <w:pStyle w:val="Compact"/>
            </w:pPr>
            <w:r>
              <w:t xml:space="preserve">{{FINDING_TITLE / CONTROL_ID}}</w:t>
            </w:r>
          </w:p>
        </w:tc>
        <w:tc>
          <w:tcPr/>
          <w:p>
            <w:pPr>
              <w:pStyle w:val="Compact"/>
            </w:pPr>
            <w:r>
              <w:t xml:space="preserve">{{BRIEF DESCRIPTION}}</w:t>
            </w:r>
          </w:p>
        </w:tc>
        <w:tc>
          <w:tcPr/>
          <w:p>
            <w:pPr>
              <w:pStyle w:val="Compact"/>
            </w:pPr>
            <w:r>
              <w:t xml:space="preserve">{{OWNER}}</w:t>
            </w:r>
          </w:p>
        </w:tc>
        <w:tc>
          <w:tcPr/>
          <w:p>
            <w:pPr>
              <w:pStyle w:val="Compact"/>
            </w:pPr>
            <w:r>
              <w:t xml:space="preserve">{{DATE}}</w:t>
            </w:r>
          </w:p>
        </w:tc>
        <w:tc>
          <w:tcPr/>
          <w:p>
            <w:pPr>
              <w:pStyle w:val="Compact"/>
            </w:pPr>
            <w:r>
              <w:t xml:space="preserve">1. {{STEP_1}} by {{DATE}}</w:t>
            </w:r>
            <w:r>
              <w:t xml:space="preserve">2. {{STEP_2}} by {{DATE}}</w:t>
            </w:r>
          </w:p>
        </w:tc>
        <w:tc>
          <w:tcPr/>
          <w:p>
            <w:pPr>
              <w:pStyle w:val="Compact"/>
            </w:pPr>
            <w:r>
              <w:t xml:space="preserve">{{$X or N/A}}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high-items"/>
    <w:p>
      <w:pPr>
        <w:pStyle w:val="Heading3"/>
      </w:pPr>
      <w:r>
        <w:t xml:space="preserve">High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#</w:t>
            </w:r>
          </w:p>
        </w:tc>
        <w:tc>
          <w:tcPr/>
          <w:p>
            <w:pPr>
              <w:pStyle w:val="Compact"/>
            </w:pPr>
            <w:r>
              <w:t xml:space="preserve">Finding / 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Responsible Owner</w:t>
            </w:r>
          </w:p>
        </w:tc>
        <w:tc>
          <w:tcPr/>
          <w:p>
            <w:pPr>
              <w:pStyle w:val="Compact"/>
            </w:pPr>
            <w:r>
              <w:t xml:space="preserve">Planned Completion</w:t>
            </w:r>
          </w:p>
        </w:tc>
        <w:tc>
          <w:tcPr/>
          <w:p>
            <w:pPr>
              <w:pStyle w:val="Compact"/>
            </w:pPr>
            <w:r>
              <w:t xml:space="preserve">Milestones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medium-items"/>
    <w:p>
      <w:pPr>
        <w:pStyle w:val="Heading3"/>
      </w:pPr>
      <w:r>
        <w:t xml:space="preserve">Medium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#</w:t>
            </w:r>
          </w:p>
        </w:tc>
        <w:tc>
          <w:tcPr/>
          <w:p>
            <w:pPr>
              <w:pStyle w:val="Compact"/>
            </w:pPr>
            <w:r>
              <w:t xml:space="preserve">Finding / 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Responsible Owner</w:t>
            </w:r>
          </w:p>
        </w:tc>
        <w:tc>
          <w:tcPr/>
          <w:p>
            <w:pPr>
              <w:pStyle w:val="Compact"/>
            </w:pPr>
            <w:r>
              <w:t xml:space="preserve">Planned Completion</w:t>
            </w:r>
          </w:p>
        </w:tc>
        <w:tc>
          <w:tcPr/>
          <w:p>
            <w:pPr>
              <w:pStyle w:val="Compact"/>
            </w:pPr>
            <w:r>
              <w:t xml:space="preserve">Milestones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ow-items"/>
    <w:p>
      <w:pPr>
        <w:pStyle w:val="Heading3"/>
      </w:pPr>
      <w:r>
        <w:t xml:space="preserve">Low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#</w:t>
            </w:r>
          </w:p>
        </w:tc>
        <w:tc>
          <w:tcPr/>
          <w:p>
            <w:pPr>
              <w:pStyle w:val="Compact"/>
            </w:pPr>
            <w:r>
              <w:t xml:space="preserve">Finding / 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Responsible Owner</w:t>
            </w:r>
          </w:p>
        </w:tc>
        <w:tc>
          <w:tcPr/>
          <w:p>
            <w:pPr>
              <w:pStyle w:val="Compact"/>
            </w:pPr>
            <w:r>
              <w:t xml:space="preserve">Planned Completion</w:t>
            </w:r>
          </w:p>
        </w:tc>
        <w:tc>
          <w:tcPr/>
          <w:p>
            <w:pPr>
              <w:pStyle w:val="Compact"/>
            </w:pPr>
            <w:r>
              <w:t xml:space="preserve">Milestones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accepted-risks"/>
    <w:p>
      <w:pPr>
        <w:pStyle w:val="Heading2"/>
      </w:pPr>
      <w:r>
        <w:t xml:space="preserve">Accepted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Risk Accepted By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oam-change-history"/>
    <w:p>
      <w:pPr>
        <w:pStyle w:val="Heading2"/>
      </w:pPr>
      <w:r>
        <w:t xml:space="preserve">POA&amp;M Change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Sean Murrill</w:t>
            </w:r>
          </w:p>
        </w:tc>
        <w:tc>
          <w:tcPr/>
          <w:p>
            <w:pPr>
              <w:pStyle w:val="Compact"/>
            </w:pPr>
            <w:r>
              <w:t xml:space="preserve">Initial POA&amp;M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instructions-for-afterswing"/>
    <w:p>
      <w:pPr>
        <w:pStyle w:val="Heading2"/>
      </w:pPr>
      <w:r>
        <w:t xml:space="preserve">Instructions for AfterSwing</w:t>
      </w:r>
    </w:p>
    <w:p>
      <w:pPr>
        <w:pStyle w:val="Compact"/>
        <w:numPr>
          <w:ilvl w:val="0"/>
          <w:numId w:val="1001"/>
        </w:numPr>
      </w:pPr>
      <w:r>
        <w:t xml:space="preserve">Update the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column as items progress: Open → In Progress → Closed</w:t>
      </w:r>
    </w:p>
    <w:p>
      <w:pPr>
        <w:pStyle w:val="Compact"/>
        <w:numPr>
          <w:ilvl w:val="0"/>
          <w:numId w:val="1001"/>
        </w:numPr>
      </w:pPr>
      <w:r>
        <w:t xml:space="preserve">When marking an item Closed, attach evidence of remediation and reference it in the</w:t>
      </w:r>
      <w:r>
        <w:t xml:space="preserve"> </w:t>
      </w:r>
      <w:r>
        <w:rPr>
          <w:b/>
          <w:bCs/>
        </w:rPr>
        <w:t xml:space="preserve">Evidence Reference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01"/>
        </w:numPr>
      </w:pPr>
      <w:r>
        <w:t xml:space="preserve">Share the updated POA&amp;M with Vulnaguard at each advisory check-in</w:t>
      </w:r>
    </w:p>
    <w:p>
      <w:pPr>
        <w:pStyle w:val="Compact"/>
        <w:numPr>
          <w:ilvl w:val="0"/>
          <w:numId w:val="1001"/>
        </w:numPr>
      </w:pPr>
      <w:r>
        <w:t xml:space="preserve">Contact seanmurrill@vulnaguard.com with questions on specific items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POA&amp;M was generated from the findings of the NIST SP 800-171 Gap Assessment conducted for AfterSwing. Vulnaguard is not responsible for the accuracy of updates made by AfterSwing after initial delivery.</w:t>
      </w:r>
    </w:p>
    <w:bookmarkEnd w:id="18"/>
    <w:bookmarkEnd w:id="19"/>
    <w:sectPr>
      <w:pgSz w:h="15840" w:orient="portrait" w:w="12240"/>
      <w:pgMar w:bottom="360" w:footer="708" w:gutter="0" w:header="708" w:left="0" w:right="0" w:top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■"/>
      <w:lvlJc w:val="left"/>
      <w:pPr>
        <w:ind w:hanging="200" w:left="260"/>
      </w:pPr>
      <w:rPr>
        <w:color w:val="C2653A"/>
        <w:sz w:val="14"/>
        <w:szCs w:val="14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12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of Action and Milestones (POA&amp;M)</dc:title>
  <dc:creator/>
  <cp:keywords/>
  <dcterms:created xsi:type="dcterms:W3CDTF">2026-07-01T01:07:54Z</dcterms:created>
  <dcterms:modified xsi:type="dcterms:W3CDTF">2026-07-01T01:07:54Z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_type">
    <vt:lpwstr>poa-m</vt:lpwstr>
  </property>
  <property fmtid="{D5CDD505-2E9C-101B-9397-08002B2CF9AE}" pid="3" name="updated">
    <vt:lpwstr>2026-06-30</vt:lpwstr>
  </property>
</Properties>
</file>