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Report</w:t>
      </w:r>
    </w:p>
    <w:bookmarkStart w:id="25" w:name="X72f03bea1fc53abc0e5e9dde4951f8b5afe9472"/>
    <w:p>
      <w:pPr>
        <w:pStyle w:val="Heading1"/>
      </w:pPr>
      <w:r>
        <w:t xml:space="preserve">NIST SP 800-171 Gap Assessment — Technical Report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AfterSwing</w:t>
      </w:r>
      <w:r>
        <w:t xml:space="preserve"> </w:t>
      </w:r>
      <w:r>
        <w:rPr>
          <w:b/>
          <w:bCs/>
        </w:rPr>
        <w:t xml:space="preserve">Assessment Period:</w:t>
      </w:r>
      <w:r>
        <w:t xml:space="preserve"> </w:t>
      </w:r>
      <w:r>
        <w:t xml:space="preserve">2026-07-01 – 2026-11-01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{{REPORT_DATE}}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Sean Murrill, Vulnaguard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— For AfterSwing Internal Use Only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Scope and Methodology</w:t>
      </w:r>
    </w:p>
    <w:p>
      <w:pPr>
        <w:pStyle w:val="Compact"/>
        <w:numPr>
          <w:ilvl w:val="0"/>
          <w:numId w:val="1001"/>
        </w:numPr>
      </w:pPr>
      <w:r>
        <w:t xml:space="preserve">Findings Summary</w:t>
      </w:r>
    </w:p>
    <w:p>
      <w:pPr>
        <w:pStyle w:val="Compact"/>
        <w:numPr>
          <w:ilvl w:val="0"/>
          <w:numId w:val="1001"/>
        </w:numPr>
      </w:pPr>
      <w:r>
        <w:t xml:space="preserve">Findings — Critical</w:t>
      </w:r>
    </w:p>
    <w:p>
      <w:pPr>
        <w:pStyle w:val="Compact"/>
        <w:numPr>
          <w:ilvl w:val="0"/>
          <w:numId w:val="1001"/>
        </w:numPr>
      </w:pPr>
      <w:r>
        <w:t xml:space="preserve">Findings — High</w:t>
      </w:r>
    </w:p>
    <w:p>
      <w:pPr>
        <w:pStyle w:val="Compact"/>
        <w:numPr>
          <w:ilvl w:val="0"/>
          <w:numId w:val="1001"/>
        </w:numPr>
      </w:pPr>
      <w:r>
        <w:t xml:space="preserve">Findings — Medium</w:t>
      </w:r>
    </w:p>
    <w:p>
      <w:pPr>
        <w:pStyle w:val="Compact"/>
        <w:numPr>
          <w:ilvl w:val="0"/>
          <w:numId w:val="1001"/>
        </w:numPr>
      </w:pPr>
      <w:r>
        <w:t xml:space="preserve">Findings — Low</w:t>
      </w:r>
    </w:p>
    <w:p>
      <w:pPr>
        <w:pStyle w:val="Compact"/>
        <w:numPr>
          <w:ilvl w:val="0"/>
          <w:numId w:val="1001"/>
        </w:numPr>
      </w:pPr>
      <w:r>
        <w:t xml:space="preserve">Findings — Informational</w:t>
      </w:r>
    </w:p>
    <w:p>
      <w:pPr>
        <w:pStyle w:val="Compact"/>
        <w:numPr>
          <w:ilvl w:val="0"/>
          <w:numId w:val="1001"/>
        </w:numPr>
      </w:pPr>
      <w:r>
        <w:t xml:space="preserve">Appendix A: Scope Detail</w:t>
      </w:r>
    </w:p>
    <w:p>
      <w:pPr>
        <w:pStyle w:val="Compact"/>
        <w:numPr>
          <w:ilvl w:val="0"/>
          <w:numId w:val="1001"/>
        </w:numPr>
      </w:pPr>
      <w:r>
        <w:t xml:space="preserve">Appendix B: Tools and Versions Used</w:t>
      </w:r>
    </w:p>
    <w:p>
      <w:pPr>
        <w:pStyle w:val="Compact"/>
        <w:numPr>
          <w:ilvl w:val="0"/>
          <w:numId w:val="1001"/>
        </w:numPr>
      </w:pPr>
      <w:r>
        <w:t xml:space="preserve">Appendix C: Evidence Index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i/>
          <w:iCs/>
        </w:rPr>
        <w:t xml:space="preserve">[Insert or reference the separate Executive Summary document here.]</w:t>
      </w:r>
    </w:p>
    <w:p>
      <w:r>
        <w:pict>
          <v:rect style="width:0;height:1.5pt" o:hralign="center" o:hrstd="t" o:hr="t"/>
        </w:pict>
      </w:r>
    </w:p>
    <w:bookmarkEnd w:id="10"/>
    <w:bookmarkStart w:id="14" w:name="scope-and-methodology"/>
    <w:p>
      <w:pPr>
        <w:pStyle w:val="Heading2"/>
      </w:pPr>
      <w:r>
        <w:t xml:space="preserve">2. Scope and Methodology</w:t>
      </w:r>
    </w:p>
    <w:bookmarkStart w:id="11" w:name="scope"/>
    <w:p>
      <w:pPr>
        <w:pStyle w:val="Heading3"/>
      </w:pPr>
      <w:r>
        <w:t xml:space="preserve">2.1 Scope</w:t>
      </w:r>
    </w:p>
    <w:p>
      <w:pPr>
        <w:pStyle w:val="FirstParagraph"/>
      </w:pPr>
      <w:r>
        <w:t xml:space="preserve">{{SCOPE_DESCRIPTION}}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{{IN_SCOPE_ITEM_1}}</w:t>
      </w:r>
      <w:r>
        <w:t xml:space="preserve"> </w:t>
      </w:r>
      <w:r>
        <w:t xml:space="preserve">- {{IN_SCOPE_ITEM_2}}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{{OUT_OF_SCOPE_ITEM_1}}</w:t>
      </w:r>
      <w:r>
        <w:t xml:space="preserve"> </w:t>
      </w:r>
      <w:r>
        <w:t xml:space="preserve">- {{OUT_OF_SCOPE_ITEM_2}}</w:t>
      </w:r>
    </w:p>
    <w:bookmarkEnd w:id="11"/>
    <w:bookmarkStart w:id="12" w:name="methodology"/>
    <w:p>
      <w:pPr>
        <w:pStyle w:val="Heading3"/>
      </w:pPr>
      <w:r>
        <w:t xml:space="preserve">2.2 Methodology</w:t>
      </w:r>
    </w:p>
    <w:p>
      <w:pPr>
        <w:pStyle w:val="FirstParagraph"/>
      </w:pPr>
      <w:r>
        <w:t xml:space="preserve">{{BRIEF_METHODOLOGY_DESCRIPTION}}</w:t>
      </w:r>
    </w:p>
    <w:p>
      <w:pPr>
        <w:pStyle w:val="BodyText"/>
      </w:pPr>
      <w:r>
        <w:t xml:space="preserve">Vulnaguard conducted this assessment in accordance with NIST SP 800-171 Rev 2 and the Vulnaguard Technical Standards. All findings were manually validated prior to inclusion in this report.</w:t>
      </w:r>
    </w:p>
    <w:bookmarkEnd w:id="12"/>
    <w:bookmarkStart w:id="13" w:name="limitations"/>
    <w:p>
      <w:pPr>
        <w:pStyle w:val="Heading3"/>
      </w:pPr>
      <w:r>
        <w:t xml:space="preserve">2.3 Limitations</w:t>
      </w:r>
    </w:p>
    <w:p>
      <w:pPr>
        <w:pStyle w:val="FirstParagraph"/>
      </w:pPr>
      <w:r>
        <w:t xml:space="preserve">{{ANY_LIMITATIONS — e.g.,</w:t>
      </w:r>
      <w:r>
        <w:t xml:space="preserve"> </w:t>
      </w:r>
      <w:r>
        <w:t xml:space="preserve">“Assessment was limited to external-facing systems only. No internal network access was provided.”</w:t>
      </w:r>
      <w:r>
        <w:t xml:space="preserve">}}</w:t>
      </w:r>
    </w:p>
    <w:p>
      <w:pPr>
        <w:pStyle w:val="BodyText"/>
      </w:pPr>
      <w:r>
        <w:rPr>
          <w:i/>
          <w:iCs/>
        </w:rPr>
        <w:t xml:space="preserve">If no limitations:</w:t>
      </w:r>
      <w:r>
        <w:rPr>
          <w:i/>
          <w:iCs/>
        </w:rPr>
        <w:t xml:space="preserve"> </w:t>
      </w:r>
      <w:r>
        <w:rPr>
          <w:i/>
          <w:iCs/>
        </w:rPr>
        <w:t xml:space="preserve">“No material limitations were identified. Assessment was conducted as scoped.”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indings-summary"/>
    <w:p>
      <w:pPr>
        <w:pStyle w:val="Heading2"/>
      </w:pPr>
      <w:r>
        <w:t xml:space="preserve">3. Findings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  <w:tc>
          <w:tcPr/>
          <w:p>
            <w:pPr>
              <w:pStyle w:val="Compact"/>
            </w:pPr>
            <w:r>
              <w:t xml:space="preserve">{{%}}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  <w:tc>
          <w:tcPr/>
          <w:p>
            <w:pPr>
              <w:pStyle w:val="Compact"/>
            </w:pPr>
            <w:r>
              <w:t xml:space="preserve">{{%}}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  <w:tc>
          <w:tcPr/>
          <w:p>
            <w:pPr>
              <w:pStyle w:val="Compact"/>
            </w:pPr>
            <w:r>
              <w:t xml:space="preserve">{{%}}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  <w:tc>
          <w:tcPr/>
          <w:p>
            <w:pPr>
              <w:pStyle w:val="Compact"/>
            </w:pPr>
            <w:r>
              <w:t xml:space="preserve">{{%}}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  <w:tc>
          <w:tcPr/>
          <w:p>
            <w:pPr>
              <w:pStyle w:val="Compact"/>
            </w:pPr>
            <w:r>
              <w:t xml:space="preserve">{{%}}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{{N}}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{{1–2 sentences on overall findings theme.}}</w:t>
      </w:r>
    </w:p>
    <w:p>
      <w:r>
        <w:pict>
          <v:rect style="width:0;height:1.5pt" o:hralign="center" o:hrstd="t" o:hr="t"/>
        </w:pict>
      </w:r>
    </w:p>
    <w:bookmarkEnd w:id="15"/>
    <w:bookmarkStart w:id="17" w:name="critical-findings"/>
    <w:p>
      <w:pPr>
        <w:pStyle w:val="Heading2"/>
      </w:pPr>
      <w:r>
        <w:t xml:space="preserve">4. Critical Findings</w:t>
      </w:r>
    </w:p>
    <w:p>
      <w:r>
        <w:pict>
          <v:rect style="width:0;height:1.5pt" o:hralign="center" o:hrstd="t" o:hr="t"/>
        </w:pict>
      </w:r>
    </w:p>
    <w:bookmarkStart w:id="16" w:name="finding-001-finding_title"/>
    <w:p>
      <w:pPr>
        <w:pStyle w:val="Heading3"/>
      </w:pPr>
      <w:r>
        <w:t xml:space="preserve">FINDING-001: {{FINDING_TITLE}}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Affected Asset / Control</w:t>
            </w:r>
          </w:p>
        </w:tc>
        <w:tc>
          <w:tcPr/>
          <w:p>
            <w:pPr>
              <w:pStyle w:val="Compact"/>
            </w:pPr>
            <w:r>
              <w:t xml:space="preserve">{{ASSET_OR_CONTROL}}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Reference</w:t>
            </w:r>
          </w:p>
        </w:tc>
        <w:tc>
          <w:tcPr/>
          <w:p>
            <w:pPr>
              <w:pStyle w:val="Compact"/>
            </w:pPr>
            <w:r>
              <w:t xml:space="preserve">{{e.g., NIST 800-171 AC.1.001}}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Identified</w:t>
            </w:r>
          </w:p>
        </w:tc>
        <w:tc>
          <w:tcPr/>
          <w:p>
            <w:pPr>
              <w:pStyle w:val="Compact"/>
            </w:pPr>
            <w:r>
              <w:t xml:space="preserve">{{DATE}}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 By</w:t>
            </w:r>
          </w:p>
        </w:tc>
        <w:tc>
          <w:tcPr/>
          <w:p>
            <w:pPr>
              <w:pStyle w:val="Compact"/>
            </w:pPr>
            <w:r>
              <w:t xml:space="preserve">Sean Murrill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{{DETAILED DESCRIPTION OF THE FINDING.}}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{{DESCRIPTION OF EVIDENCE.}}</w:t>
      </w:r>
    </w:p>
    <w:p>
      <w:pPr>
        <w:pStyle w:val="BodyText"/>
      </w:pPr>
      <w:r>
        <w:rPr>
          <w:b/>
          <w:bCs/>
        </w:rPr>
        <w:t xml:space="preserve">Business Impact</w:t>
      </w:r>
    </w:p>
    <w:p>
      <w:pPr>
        <w:pStyle w:val="BodyText"/>
      </w:pPr>
      <w:r>
        <w:t xml:space="preserve">{{WHAT COULD HAPPEN IF THIS FINDING IS EXPLOITED OR REMAINS UNADDRESSED.}}</w:t>
      </w:r>
    </w:p>
    <w:p>
      <w:pPr>
        <w:pStyle w:val="BodyText"/>
      </w:pPr>
      <w:r>
        <w:rPr>
          <w:b/>
          <w:bCs/>
        </w:rPr>
        <w:t xml:space="preserve">Recommendation</w:t>
      </w:r>
    </w:p>
    <w:p>
      <w:pPr>
        <w:pStyle w:val="BodyText"/>
      </w:pPr>
      <w:r>
        <w:t xml:space="preserve">{{SPECIFIC, ACTIONABLE REMEDIATION GUIDANCE.}}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{{Quick Win / Short-Term / Long-Term}}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(Repeat for each Critical finding. Use the same structure for High, Medium, Low, and Informational findings, adjusting the severity field.)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high-findings"/>
    <w:p>
      <w:pPr>
        <w:pStyle w:val="Heading2"/>
      </w:pPr>
      <w:r>
        <w:t xml:space="preserve">5. High Findings</w:t>
      </w:r>
    </w:p>
    <w:p>
      <w:pPr>
        <w:pStyle w:val="FirstParagraph"/>
      </w:pPr>
      <w:r>
        <w:rPr>
          <w:i/>
          <w:iCs/>
        </w:rPr>
        <w:t xml:space="preserve">(Same structure as Critical)</w:t>
      </w:r>
    </w:p>
    <w:p>
      <w:r>
        <w:pict>
          <v:rect style="width:0;height:1.5pt" o:hralign="center" o:hrstd="t" o:hr="t"/>
        </w:pict>
      </w:r>
    </w:p>
    <w:bookmarkEnd w:id="18"/>
    <w:bookmarkStart w:id="19" w:name="medium-findings"/>
    <w:p>
      <w:pPr>
        <w:pStyle w:val="Heading2"/>
      </w:pPr>
      <w:r>
        <w:t xml:space="preserve">6. Medium Findings</w:t>
      </w:r>
    </w:p>
    <w:p>
      <w:pPr>
        <w:pStyle w:val="FirstParagraph"/>
      </w:pPr>
      <w:r>
        <w:rPr>
          <w:i/>
          <w:iCs/>
        </w:rPr>
        <w:t xml:space="preserve">(Same structure — findings include description, evidence, impact, recommendation.)</w:t>
      </w:r>
    </w:p>
    <w:p>
      <w:r>
        <w:pict>
          <v:rect style="width:0;height:1.5pt" o:hralign="center" o:hrstd="t" o:hr="t"/>
        </w:pict>
      </w:r>
    </w:p>
    <w:bookmarkEnd w:id="19"/>
    <w:bookmarkStart w:id="20" w:name="low-findings"/>
    <w:p>
      <w:pPr>
        <w:pStyle w:val="Heading2"/>
      </w:pPr>
      <w:r>
        <w:t xml:space="preserve">7. Low Findings</w:t>
      </w:r>
    </w:p>
    <w:p>
      <w:pPr>
        <w:pStyle w:val="FirstParagraph"/>
      </w:pPr>
      <w:r>
        <w:rPr>
          <w:i/>
          <w:iCs/>
        </w:rPr>
        <w:t xml:space="preserve">(Same structure — may be abbreviated for efficiency.)</w:t>
      </w:r>
    </w:p>
    <w:p>
      <w:r>
        <w:pict>
          <v:rect style="width:0;height:1.5pt" o:hralign="center" o:hrstd="t" o:hr="t"/>
        </w:pict>
      </w:r>
    </w:p>
    <w:bookmarkEnd w:id="20"/>
    <w:bookmarkStart w:id="21" w:name="informational"/>
    <w:p>
      <w:pPr>
        <w:pStyle w:val="Heading2"/>
      </w:pPr>
      <w:r>
        <w:t xml:space="preserve">8. Informational</w:t>
      </w:r>
    </w:p>
    <w:p>
      <w:pPr>
        <w:pStyle w:val="FirstParagraph"/>
      </w:pPr>
      <w:r>
        <w:rPr>
          <w:i/>
          <w:iCs/>
        </w:rPr>
        <w:t xml:space="preserve">(Brief descriptions — no evidence citations required unless notable.)</w:t>
      </w:r>
    </w:p>
    <w:p>
      <w:r>
        <w:pict>
          <v:rect style="width:0;height:1.5pt" o:hralign="center" o:hrstd="t" o:hr="t"/>
        </w:pict>
      </w:r>
    </w:p>
    <w:bookmarkEnd w:id="21"/>
    <w:bookmarkStart w:id="22" w:name="appendix-a-scope-detail"/>
    <w:p>
      <w:pPr>
        <w:pStyle w:val="Heading2"/>
      </w:pPr>
      <w:r>
        <w:t xml:space="preserve">Appendix A: Scope Detail</w:t>
      </w:r>
    </w:p>
    <w:p>
      <w:pPr>
        <w:pStyle w:val="FirstParagraph"/>
      </w:pPr>
      <w:r>
        <w:t xml:space="preserve">Full list of in-scope systems and NIST 800-171 controls assessed.</w:t>
      </w:r>
    </w:p>
    <w:p>
      <w:r>
        <w:pict>
          <v:rect style="width:0;height:1.5pt" o:hralign="center" o:hrstd="t" o:hr="t"/>
        </w:pict>
      </w:r>
    </w:p>
    <w:bookmarkEnd w:id="22"/>
    <w:bookmarkStart w:id="23" w:name="appendix-b-tools-and-versions-used"/>
    <w:p>
      <w:pPr>
        <w:pStyle w:val="Heading2"/>
      </w:pPr>
      <w:r>
        <w:t xml:space="preserve">Appendix B: Tools and Versions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{{TOOL_1}}</w:t>
            </w:r>
          </w:p>
        </w:tc>
        <w:tc>
          <w:tcPr/>
          <w:p>
            <w:pPr>
              <w:pStyle w:val="Compact"/>
            </w:pPr>
            <w:r>
              <w:t xml:space="preserve">{{VERSION}}</w:t>
            </w:r>
          </w:p>
        </w:tc>
        <w:tc>
          <w:tcPr/>
          <w:p>
            <w:pPr>
              <w:pStyle w:val="Compact"/>
            </w:pPr>
            <w:r>
              <w:t xml:space="preserve">{{PURPOSE}}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{{TOOL_2}}</w:t>
            </w:r>
          </w:p>
        </w:tc>
        <w:tc>
          <w:tcPr/>
          <w:p>
            <w:pPr>
              <w:pStyle w:val="Compact"/>
            </w:pPr>
            <w:r>
              <w:t xml:space="preserve">{{VERSION}}</w:t>
            </w:r>
          </w:p>
        </w:tc>
        <w:tc>
          <w:tcPr/>
          <w:p>
            <w:pPr>
              <w:pStyle w:val="Compact"/>
            </w:pPr>
            <w:r>
              <w:t xml:space="preserve">{{PURPOSE}}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pendix-c-evidence-index"/>
    <w:p>
      <w:pPr>
        <w:pStyle w:val="Heading2"/>
      </w:pPr>
      <w:r>
        <w:t xml:space="preserve">Appendix C: Evidence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Exhibit</w:t>
            </w:r>
          </w:p>
        </w:tc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Finding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</w:pPr>
            <w:r>
              <w:t xml:space="preserve">{{FILENAME}}</w:t>
            </w:r>
          </w:p>
        </w:tc>
        <w:tc>
          <w:tcPr/>
          <w:p>
            <w:pPr>
              <w:pStyle w:val="Compact"/>
            </w:pPr>
            <w:r>
              <w:t xml:space="preserve">{{DESCRIPTION}}</w:t>
            </w:r>
          </w:p>
        </w:tc>
        <w:tc>
          <w:tcPr/>
          <w:p>
            <w:pPr>
              <w:pStyle w:val="Compact"/>
            </w:pPr>
            <w:r>
              <w:t xml:space="preserve">FINDING-001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</w:pPr>
            <w:r>
              <w:t xml:space="preserve">{{FILENAME}}</w:t>
            </w:r>
          </w:p>
        </w:tc>
        <w:tc>
          <w:tcPr/>
          <w:p>
            <w:pPr>
              <w:pStyle w:val="Compact"/>
            </w:pPr>
            <w:r>
              <w:t xml:space="preserve">{{DESCRIPTION}}</w:t>
            </w:r>
          </w:p>
        </w:tc>
        <w:tc>
          <w:tcPr/>
          <w:p>
            <w:pPr>
              <w:pStyle w:val="Compact"/>
            </w:pPr>
            <w:r>
              <w:t xml:space="preserve">FINDING-002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confidential and intended solely for AfterSwing. Unauthorized disclosure is prohibited. Vulnaguard is not responsible for actions taken based on this report by parties other than AfterSwing.</w:t>
      </w:r>
    </w:p>
    <w:p>
      <w:pPr>
        <w:pStyle w:val="BodyText"/>
      </w:pPr>
      <w:r>
        <w:rPr>
          <w:b/>
          <w:bCs/>
        </w:rPr>
        <w:t xml:space="preserve">Vulnaguard LLC | vulnaguard.com | seanmurrill@vulnaguard.com | CAGE: 21QQ7 | UEI: CJ7ZXTUSN3W8</w:t>
      </w:r>
    </w:p>
    <w:bookmarkEnd w:id="24"/>
    <w:bookmarkEnd w:id="25"/>
    <w:sectPr>
      <w:pgSz w:h="15840" w:orient="portrait" w:w="12240"/>
      <w:pgMar w:bottom="360" w:footer="708" w:gutter="0" w:header="708" w:left="0" w:right="0" w:top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■"/>
      <w:lvlJc w:val="left"/>
      <w:pPr>
        <w:ind w:hanging="200" w:left="260"/>
      </w:pPr>
      <w:rPr>
        <w:color w:val="C2653A"/>
        <w:sz w:val="14"/>
        <w:szCs w:val="14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12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</dc:title>
  <dc:creator/>
  <cp:keywords/>
  <dcterms:created xsi:type="dcterms:W3CDTF">2026-07-01T01:07:54Z</dcterms:created>
  <dcterms:modified xsi:type="dcterms:W3CDTF">2026-07-01T01:07:54Z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type">
    <vt:lpwstr>technical-report</vt:lpwstr>
  </property>
  <property fmtid="{D5CDD505-2E9C-101B-9397-08002B2CF9AE}" pid="3" name="updated">
    <vt:lpwstr>2026-06-30</vt:lpwstr>
  </property>
</Properties>
</file>