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4F72" w:sz="48"/>
        </w:pBdr>
        <w:spacing w:after="0" w:before="0"/>
      </w:pPr>
    </w:p>
    <w:p>
      <w:pPr>
        <w:spacing w:after="600" w:before="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Entity Relationship Diagram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CQAMS — Clinic Queue &amp; Appointment Management System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5929E"/>
          <w:sz w:val="24"/>
          <w:szCs w:val="24"/>
        </w:rPr>
        <w:t xml:space="preserve">SWE202 — Software Modeling and Design  ·  April 2026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Document</w:t>
            </w:r>
          </w:p>
        </w:tc>
        <w:tc>
          <w:tcPr>
            <w:tcW w:type="dxa" w:w="48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CQAMS ERD v2.0 — Corrected</w:t>
            </w:r>
          </w:p>
        </w:tc>
      </w:tr>
      <w:tr>
        <w:tc>
          <w:tcPr>
            <w:tcW w:type="dxa" w:w="24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Entities</w:t>
            </w:r>
          </w:p>
        </w:tc>
        <w:tc>
          <w:tcPr>
            <w:tcW w:type="dxa" w:w="48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entities, 12 relationships</w:t>
            </w:r>
          </w:p>
        </w:tc>
      </w:tr>
      <w:tr>
        <w:tc>
          <w:tcPr>
            <w:tcW w:type="dxa" w:w="24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Notation</w:t>
            </w:r>
          </w:p>
        </w:tc>
        <w:tc>
          <w:tcPr>
            <w:tcW w:type="dxa" w:w="48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Crow's foot (Barker), FK/PK labelled</w:t>
            </w:r>
          </w:p>
        </w:tc>
      </w:tr>
      <w:tr>
        <w:tc>
          <w:tcPr>
            <w:tcW w:type="dxa" w:w="24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Team Leader</w:t>
            </w:r>
          </w:p>
        </w:tc>
        <w:tc>
          <w:tcPr>
            <w:tcW w:type="dxa" w:w="48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Jona Kovaci</w:t>
            </w:r>
          </w:p>
        </w:tc>
      </w:tr>
      <w:tr>
        <w:tc>
          <w:tcPr>
            <w:tcW w:type="dxa" w:w="24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Contributors</w:t>
            </w:r>
          </w:p>
        </w:tc>
        <w:tc>
          <w:tcPr>
            <w:tcW w:type="dxa" w:w="48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Deivid Koci (primary), full team review</w:t>
            </w:r>
          </w:p>
        </w:tc>
      </w:tr>
    </w:tbl>
    <w:p>
      <w:pPr>
        <w:spacing w:after="600" w:before="0"/>
      </w:pPr>
    </w:p>
    <w:p>
      <w:pPr>
        <w:pBdr>
          <w:bottom w:val="single" w:color="AED6F1" w:sz="4"/>
        </w:pBdr>
        <w:spacing w:after="120" w:before="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Legend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</w:tblGrid>
      <w:tr>
        <w:tc>
          <w:tcPr>
            <w:tcW w:type="dxa" w:w="12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PK</w:t>
            </w:r>
          </w:p>
        </w:tc>
        <w:tc>
          <w:tcPr>
            <w:tcW w:type="dxa" w:w="60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Primary Key — uniquely identifies a record in this table</w:t>
            </w:r>
          </w:p>
        </w:tc>
      </w:tr>
      <w:tr>
        <w:tc>
          <w:tcPr>
            <w:tcW w:type="dxa" w:w="12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FK</w:t>
            </w:r>
          </w:p>
        </w:tc>
        <w:tc>
          <w:tcPr>
            <w:tcW w:type="dxa" w:w="60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Foreign Key — references the primary key of another table</w:t>
            </w:r>
          </w:p>
        </w:tc>
      </w:tr>
      <w:tr>
        <w:tc>
          <w:tcPr>
            <w:tcW w:type="dxa" w:w="12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1 : 1</w:t>
            </w:r>
          </w:p>
        </w:tc>
        <w:tc>
          <w:tcPr>
            <w:tcW w:type="dxa" w:w="60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One-to-one relationship (e.g. USER → PATIENT specialisation)</w:t>
            </w:r>
          </w:p>
        </w:tc>
      </w:tr>
      <w:tr>
        <w:tc>
          <w:tcPr>
            <w:tcW w:type="dxa" w:w="12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1 : 0..*</w:t>
            </w:r>
          </w:p>
        </w:tc>
        <w:tc>
          <w:tcPr>
            <w:tcW w:type="dxa" w:w="60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One-to-many: one record on the left side, zero or more on the right</w:t>
            </w:r>
          </w:p>
        </w:tc>
      </w:tr>
      <w:tr>
        <w:tc>
          <w:tcPr>
            <w:tcW w:type="dxa" w:w="12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1 : 0..1</w:t>
            </w:r>
          </w:p>
        </w:tc>
        <w:tc>
          <w:tcPr>
            <w:tcW w:type="dxa" w:w="60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One-to-zero-or-one: at most one matching record on the right</w:t>
            </w:r>
          </w:p>
        </w:tc>
      </w:tr>
      <w:tr>
        <w:tc>
          <w:tcPr>
            <w:tcW w:type="dxa" w:w="12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opt FK</w:t>
            </w:r>
          </w:p>
        </w:tc>
        <w:tc>
          <w:tcPr>
            <w:tcW w:type="dxa" w:w="60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Optional / nullable foreign key — the relationship may not exist</w:t>
            </w:r>
          </w:p>
        </w:tc>
      </w:tr>
    </w:tbl>
    <w:p>
      <w:pPr>
        <w:spacing w:after="500" w:before="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See next page for the full diagram, followed by the entity reference and relationship table.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2E86C1" w:sz="8"/>
        </w:pBdr>
        <w:spacing w:after="280" w:before="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Entity Relationship Diagram — Full System</w:t>
      </w:r>
    </w:p>
    <w:p>
      <w:pPr>
        <w:spacing w:after="0" w:before="0"/>
        <w:jc w:val="center"/>
      </w:pPr>
      <w:r>
        <w:drawing>
          <wp:inline distT="0" distB="0" distL="0" distR="0">
            <wp:extent cx="67313175" cy="9048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3175" cy="90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5840" w:h="12240" w:orient="landscape"/>
          <w:pgMar w:top="560" w:right="560" w:bottom="560" w:left="560" w:header="708" w:footer="708" w:gutter="0"/>
          <w:pgNumType/>
          <w:docGrid w:linePitch="360"/>
        </w:sectPr>
      </w:pPr>
    </w:p>
    <w:p>
      <w:pPr>
        <w:pBdr>
          <w:bottom w:val="single" w:color="2E86C1" w:sz="10"/>
        </w:pBdr>
        <w:spacing w:after="120" w:before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 Entity Reference</w:t>
      </w:r>
    </w:p>
    <w:p>
      <w:pPr>
        <w:spacing w:after="280" w:before="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Attributes, keys, and purpose for each entity in the CQAMS data model.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1400"/>
        <w:gridCol w:w="5480"/>
      </w:tblGrid>
      <w:tr>
        <w:trPr>
          <w:tblHeader/>
        </w:trPr>
        <w:tc>
          <w:tcPr>
            <w:tcW w:type="dxa" w:w="19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13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14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Foreign Keys</w:t>
            </w:r>
          </w:p>
        </w:tc>
        <w:tc>
          <w:tcPr>
            <w:tcW w:type="dxa" w:w="548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&amp; Notes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USER</w:t>
            </w:r>
          </w:p>
        </w:tc>
        <w:tc>
          <w:tcPr>
            <w:tcW w:type="dxa" w:w="13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userId</w:t>
            </w:r>
          </w:p>
        </w:tc>
        <w:tc>
          <w:tcPr>
            <w:tcW w:type="dxa" w:w="14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5929E"/>
                <w:sz w:val="17"/>
                <w:szCs w:val="17"/>
              </w:rPr>
              <w:t xml:space="preserve">—</w:t>
            </w:r>
          </w:p>
        </w:tc>
        <w:tc>
          <w:tcPr>
            <w:tcW w:type="dxa" w:w="548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Central identity record. Drives RBAC via the role ENUM. All roles authenticate through this table.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PATIENT</w:t>
            </w:r>
          </w:p>
        </w:tc>
        <w:tc>
          <w:tcPr>
            <w:tcW w:type="dxa" w:w="13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patientId</w:t>
            </w:r>
          </w:p>
        </w:tc>
        <w:tc>
          <w:tcPr>
            <w:tcW w:type="dxa" w:w="14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EF5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A04000"/>
                <w:sz w:val="17"/>
                <w:szCs w:val="17"/>
              </w:rPr>
              <w:t xml:space="preserve">userId</w:t>
            </w:r>
          </w:p>
        </w:tc>
        <w:tc>
          <w:tcPr>
            <w:tcW w:type="dxa" w:w="548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Extends USER 1:1. Stores patient-specific data: date of birth, phone, address, insurance number.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DOCTOR</w:t>
            </w:r>
          </w:p>
        </w:tc>
        <w:tc>
          <w:tcPr>
            <w:tcW w:type="dxa" w:w="13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doctorId</w:t>
            </w:r>
          </w:p>
        </w:tc>
        <w:tc>
          <w:tcPr>
            <w:tcW w:type="dxa" w:w="14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A04000"/>
                <w:sz w:val="17"/>
                <w:szCs w:val="17"/>
              </w:rPr>
              <w:t xml:space="preserve">userId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A04000"/>
                <w:sz w:val="17"/>
                <w:szCs w:val="17"/>
              </w:rPr>
              <w:t xml:space="preserve">departmentId</w:t>
            </w:r>
          </w:p>
        </w:tc>
        <w:tc>
          <w:tcPr>
            <w:tcW w:type="dxa" w:w="548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Extends USER 1:1. Stores clinical credentials and the assigned consultation room and department.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APPOINTMENT</w:t>
            </w:r>
          </w:p>
        </w:tc>
        <w:tc>
          <w:tcPr>
            <w:tcW w:type="dxa" w:w="13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appointmentId</w:t>
            </w:r>
          </w:p>
        </w:tc>
        <w:tc>
          <w:tcPr>
            <w:tcW w:type="dxa" w:w="14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EF5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A04000"/>
                <w:sz w:val="17"/>
                <w:szCs w:val="17"/>
              </w:rPr>
              <w:t xml:space="preserve">patientId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A04000"/>
                <w:sz w:val="17"/>
                <w:szCs w:val="17"/>
              </w:rPr>
              <w:t xml:space="preserve">doctorId</w:t>
            </w:r>
          </w:p>
        </w:tc>
        <w:tc>
          <w:tcPr>
            <w:tcW w:type="dxa" w:w="548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pre-scheduled booking linking one patient to one doctor. Holds status, type, and clinical notes.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QUEUE_TICKET</w:t>
            </w:r>
          </w:p>
        </w:tc>
        <w:tc>
          <w:tcPr>
            <w:tcW w:type="dxa" w:w="13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ticketId</w:t>
            </w:r>
          </w:p>
        </w:tc>
        <w:tc>
          <w:tcPr>
            <w:tcW w:type="dxa" w:w="14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A04000"/>
                <w:sz w:val="17"/>
                <w:szCs w:val="17"/>
              </w:rPr>
              <w:t xml:space="preserve">patientId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A04000"/>
                <w:sz w:val="17"/>
                <w:szCs w:val="17"/>
              </w:rPr>
              <w:t xml:space="preserve">doctorId</w:t>
            </w:r>
          </w:p>
        </w:tc>
        <w:tc>
          <w:tcPr>
            <w:tcW w:type="dxa" w:w="548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walk-in queue entry. Independent of APPOINTMENT. Holds auto-generated ticket number and priority.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MEDICAL_RECORD</w:t>
            </w:r>
          </w:p>
        </w:tc>
        <w:tc>
          <w:tcPr>
            <w:tcW w:type="dxa" w:w="13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recordId</w:t>
            </w:r>
          </w:p>
        </w:tc>
        <w:tc>
          <w:tcPr>
            <w:tcW w:type="dxa" w:w="14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EF5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A04000"/>
                <w:sz w:val="17"/>
                <w:szCs w:val="17"/>
              </w:rPr>
              <w:t xml:space="preserve">appointmentId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A04000"/>
                <w:sz w:val="17"/>
                <w:szCs w:val="17"/>
              </w:rPr>
              <w:t xml:space="preserve">patientId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A04000"/>
                <w:sz w:val="17"/>
                <w:szCs w:val="17"/>
              </w:rPr>
              <w:t xml:space="preserve">doctorId</w:t>
            </w:r>
          </w:p>
        </w:tc>
        <w:tc>
          <w:tcPr>
            <w:tcW w:type="dxa" w:w="548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outcome of a completed consultation: diagnosis, clinical notes. Created 0..1 per appointment.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PRESCRIPTION</w:t>
            </w:r>
          </w:p>
        </w:tc>
        <w:tc>
          <w:tcPr>
            <w:tcW w:type="dxa" w:w="13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prescriptionId</w:t>
            </w:r>
          </w:p>
        </w:tc>
        <w:tc>
          <w:tcPr>
            <w:tcW w:type="dxa" w:w="14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A04000"/>
                <w:sz w:val="17"/>
                <w:szCs w:val="17"/>
              </w:rPr>
              <w:t xml:space="preserve">recordId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A04000"/>
                <w:sz w:val="17"/>
                <w:szCs w:val="17"/>
              </w:rPr>
              <w:t xml:space="preserve">doctorId</w:t>
            </w:r>
          </w:p>
        </w:tc>
        <w:tc>
          <w:tcPr>
            <w:tcW w:type="dxa" w:w="548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Issued by a doctor against a medical record. One record can produce multiple prescriptions.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13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notificationId</w:t>
            </w:r>
          </w:p>
        </w:tc>
        <w:tc>
          <w:tcPr>
            <w:tcW w:type="dxa" w:w="14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EF5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A04000"/>
                <w:sz w:val="17"/>
                <w:szCs w:val="17"/>
              </w:rPr>
              <w:t xml:space="preserve">userId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A04000"/>
                <w:sz w:val="17"/>
                <w:szCs w:val="17"/>
              </w:rPr>
              <w:t xml:space="preserve">appointmentId (opt)</w:t>
            </w:r>
          </w:p>
        </w:tc>
        <w:tc>
          <w:tcPr>
            <w:tcW w:type="dxa" w:w="548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System-generated alerts: confirmations, 24-hour reminders, queue updates. appointmentId is nullable.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AUDIT_LOG</w:t>
            </w:r>
          </w:p>
        </w:tc>
        <w:tc>
          <w:tcPr>
            <w:tcW w:type="dxa" w:w="13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logId</w:t>
            </w:r>
          </w:p>
        </w:tc>
        <w:tc>
          <w:tcPr>
            <w:tcW w:type="dxa" w:w="14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A04000"/>
                <w:sz w:val="17"/>
                <w:szCs w:val="17"/>
              </w:rPr>
              <w:t xml:space="preserve">userId</w:t>
            </w:r>
          </w:p>
        </w:tc>
        <w:tc>
          <w:tcPr>
            <w:tcW w:type="dxa" w:w="548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Immutable record of every user action. Insert-only. Satisfies NFR-05 (12-month retention) and FR-54.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DOCTOR_AVAILABILITY</w:t>
            </w:r>
          </w:p>
        </w:tc>
        <w:tc>
          <w:tcPr>
            <w:tcW w:type="dxa" w:w="13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availabilityId</w:t>
            </w:r>
          </w:p>
        </w:tc>
        <w:tc>
          <w:tcPr>
            <w:tcW w:type="dxa" w:w="14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EF5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A04000"/>
                <w:sz w:val="17"/>
                <w:szCs w:val="17"/>
              </w:rPr>
              <w:t xml:space="preserve">doctorId</w:t>
            </w:r>
          </w:p>
        </w:tc>
        <w:tc>
          <w:tcPr>
            <w:tcW w:type="dxa" w:w="548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Weekly schedule slots per doctor. Supports blocked periods. Queried before any appointment is booked.</w:t>
            </w:r>
          </w:p>
        </w:tc>
      </w:tr>
    </w:tbl>
    <w:p>
      <w:pPr>
        <w:spacing w:after="400" w:before="0"/>
      </w:pPr>
    </w:p>
    <w:p>
      <w:pPr>
        <w:pBdr>
          <w:bottom w:val="single" w:color="2E86C1" w:sz="10"/>
        </w:pBdr>
        <w:spacing w:after="120" w:before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 Relationship Reference</w:t>
      </w:r>
    </w:p>
    <w:p>
      <w:pPr>
        <w:spacing w:after="280" w:before="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All 12 relationships: cardinality, direction, and business rule rationale.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658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10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Cardinality</w:t>
            </w:r>
          </w:p>
        </w:tc>
        <w:tc>
          <w:tcPr>
            <w:tcW w:type="dxa" w:w="658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Business Rule</w:t>
            </w:r>
          </w:p>
        </w:tc>
      </w:tr>
      <w:tr>
        <w:tc>
          <w:tcPr>
            <w:tcW w:type="dxa" w:w="25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USER → PATIENT</w:t>
            </w:r>
          </w:p>
        </w:tc>
        <w:tc>
          <w:tcPr>
            <w:tcW w:type="dxa" w:w="10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1 : 1</w:t>
            </w:r>
          </w:p>
        </w:tc>
        <w:tc>
          <w:tcPr>
            <w:tcW w:type="dxa" w:w="658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Specialisation / extension. Each patient record maps to exactly one user account (dashed inheritance).</w:t>
            </w:r>
          </w:p>
        </w:tc>
      </w:tr>
      <w:tr>
        <w:tc>
          <w:tcPr>
            <w:tcW w:type="dxa" w:w="25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USER → DOCTOR</w:t>
            </w:r>
          </w:p>
        </w:tc>
        <w:tc>
          <w:tcPr>
            <w:tcW w:type="dxa" w:w="10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1 : 1</w:t>
            </w:r>
          </w:p>
        </w:tc>
        <w:tc>
          <w:tcPr>
            <w:tcW w:type="dxa" w:w="658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Specialisation / extension. Each doctor record maps to exactly one user account (dashed inheritance).</w:t>
            </w:r>
          </w:p>
        </w:tc>
      </w:tr>
      <w:tr>
        <w:tc>
          <w:tcPr>
            <w:tcW w:type="dxa" w:w="25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PATIENT → APPOINTMENT</w:t>
            </w:r>
          </w:p>
        </w:tc>
        <w:tc>
          <w:tcPr>
            <w:tcW w:type="dxa" w:w="10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1 : 0..*</w:t>
            </w:r>
          </w:p>
        </w:tc>
        <w:tc>
          <w:tcPr>
            <w:tcW w:type="dxa" w:w="658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patient accumulates multiple appointments over time. Zero if they have never booked.</w:t>
            </w:r>
          </w:p>
        </w:tc>
      </w:tr>
      <w:tr>
        <w:tc>
          <w:tcPr>
            <w:tcW w:type="dxa" w:w="25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DOCTOR → APPOINTMENT</w:t>
            </w:r>
          </w:p>
        </w:tc>
        <w:tc>
          <w:tcPr>
            <w:tcW w:type="dxa" w:w="10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1 : 0..*</w:t>
            </w:r>
          </w:p>
        </w:tc>
        <w:tc>
          <w:tcPr>
            <w:tcW w:type="dxa" w:w="658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doctor holds multiple appointments. Zero if none are scheduled yet.</w:t>
            </w:r>
          </w:p>
        </w:tc>
      </w:tr>
      <w:tr>
        <w:tc>
          <w:tcPr>
            <w:tcW w:type="dxa" w:w="25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APPOINTMENT → MEDICAL_RECORD</w:t>
            </w:r>
          </w:p>
        </w:tc>
        <w:tc>
          <w:tcPr>
            <w:tcW w:type="dxa" w:w="10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1 : 0..1</w:t>
            </w:r>
          </w:p>
        </w:tc>
        <w:tc>
          <w:tcPr>
            <w:tcW w:type="dxa" w:w="658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completed appointment produces at most one medical record. Cancelled/pending appointments produce none.</w:t>
            </w:r>
          </w:p>
        </w:tc>
      </w:tr>
      <w:tr>
        <w:tc>
          <w:tcPr>
            <w:tcW w:type="dxa" w:w="25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MEDICAL_RECORD → PRESCRIPTION</w:t>
            </w:r>
          </w:p>
        </w:tc>
        <w:tc>
          <w:tcPr>
            <w:tcW w:type="dxa" w:w="10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1 : 0..*</w:t>
            </w:r>
          </w:p>
        </w:tc>
        <w:tc>
          <w:tcPr>
            <w:tcW w:type="dxa" w:w="658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consultation may result in multiple prescriptions (one per medication).</w:t>
            </w:r>
          </w:p>
        </w:tc>
      </w:tr>
      <w:tr>
        <w:tc>
          <w:tcPr>
            <w:tcW w:type="dxa" w:w="25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PATIENT → QUEUE_TICKET</w:t>
            </w:r>
          </w:p>
        </w:tc>
        <w:tc>
          <w:tcPr>
            <w:tcW w:type="dxa" w:w="10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1 : 0..*</w:t>
            </w:r>
          </w:p>
        </w:tc>
        <w:tc>
          <w:tcPr>
            <w:tcW w:type="dxa" w:w="658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patient can hold multiple queue tickets across visits.</w:t>
            </w:r>
          </w:p>
        </w:tc>
      </w:tr>
      <w:tr>
        <w:tc>
          <w:tcPr>
            <w:tcW w:type="dxa" w:w="25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DOCTOR → QUEUE_TICKET</w:t>
            </w:r>
          </w:p>
        </w:tc>
        <w:tc>
          <w:tcPr>
            <w:tcW w:type="dxa" w:w="10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1 : 0..*</w:t>
            </w:r>
          </w:p>
        </w:tc>
        <w:tc>
          <w:tcPr>
            <w:tcW w:type="dxa" w:w="658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doctor serves multiple queued patients per shift.</w:t>
            </w:r>
          </w:p>
        </w:tc>
      </w:tr>
      <w:tr>
        <w:tc>
          <w:tcPr>
            <w:tcW w:type="dxa" w:w="25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USER → NOTIFICATION</w:t>
            </w:r>
          </w:p>
        </w:tc>
        <w:tc>
          <w:tcPr>
            <w:tcW w:type="dxa" w:w="10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1 : 0..*</w:t>
            </w:r>
          </w:p>
        </w:tc>
        <w:tc>
          <w:tcPr>
            <w:tcW w:type="dxa" w:w="658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user receives system-generated notifications.</w:t>
            </w:r>
          </w:p>
        </w:tc>
      </w:tr>
      <w:tr>
        <w:tc>
          <w:tcPr>
            <w:tcW w:type="dxa" w:w="25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APPOINTMENT → NOTIFICATION</w:t>
            </w:r>
          </w:p>
        </w:tc>
        <w:tc>
          <w:tcPr>
            <w:tcW w:type="dxa" w:w="10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1 : 0..*</w:t>
            </w:r>
          </w:p>
        </w:tc>
        <w:tc>
          <w:tcPr>
            <w:tcW w:type="dxa" w:w="658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Booking, cancellation, and reminder events each trigger a notification.</w:t>
            </w:r>
          </w:p>
        </w:tc>
      </w:tr>
      <w:tr>
        <w:tc>
          <w:tcPr>
            <w:tcW w:type="dxa" w:w="25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USER → AUDIT_LOG</w:t>
            </w:r>
          </w:p>
        </w:tc>
        <w:tc>
          <w:tcPr>
            <w:tcW w:type="dxa" w:w="10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1 : 0..*</w:t>
            </w:r>
          </w:p>
        </w:tc>
        <w:tc>
          <w:tcPr>
            <w:tcW w:type="dxa" w:w="658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authenticated user action generates an immutable audit entry.</w:t>
            </w:r>
          </w:p>
        </w:tc>
      </w:tr>
      <w:tr>
        <w:tc>
          <w:tcPr>
            <w:tcW w:type="dxa" w:w="25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DOCTOR → DOCTOR_AVAILABILITY</w:t>
            </w:r>
          </w:p>
        </w:tc>
        <w:tc>
          <w:tcPr>
            <w:tcW w:type="dxa" w:w="10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1 : 0..*</w:t>
            </w:r>
          </w:p>
        </w:tc>
        <w:tc>
          <w:tcPr>
            <w:tcW w:type="dxa" w:w="658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doctor defines many weekly availability slots.</w:t>
            </w:r>
          </w:p>
        </w:tc>
      </w:tr>
    </w:tbl>
    <w:p>
      <w:pPr>
        <w:spacing w:after="400" w:before="0"/>
      </w:pPr>
    </w:p>
    <w:p>
      <w:pPr>
        <w:pBdr>
          <w:bottom w:val="single" w:color="2E86C1" w:sz="6"/>
        </w:pBdr>
        <w:spacing w:after="120" w:before="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ERD Corrections from Previous Version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728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8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04000"/>
                <w:sz w:val="18"/>
                <w:szCs w:val="18"/>
              </w:rPr>
              <w:t xml:space="preserve">APPOINTMENT → MEDICAL_RECORD changed to 1:0..1</w:t>
            </w:r>
          </w:p>
        </w:tc>
        <w:tc>
          <w:tcPr>
            <w:tcW w:type="dxa" w:w="728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every appointment produces a record — cancelled and pending appointments do not. The previous 1:1 was incorrect.</w:t>
            </w:r>
          </w:p>
        </w:tc>
      </w:tr>
      <w:tr>
        <w:tc>
          <w:tcPr>
            <w:tcW w:type="dxa" w:w="28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04000"/>
                <w:sz w:val="18"/>
                <w:szCs w:val="18"/>
              </w:rPr>
              <w:t xml:space="preserve">NOTIFICATION.appointmentId made nullable (opt FK)</w:t>
            </w:r>
          </w:p>
        </w:tc>
        <w:tc>
          <w:tcPr>
            <w:tcW w:type="dxa" w:w="728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System-wide notifications (e.g. security alerts, session expiry) do not relate to any appointment. Strict FK would prevent these.</w:t>
            </w:r>
          </w:p>
        </w:tc>
      </w:tr>
      <w:tr>
        <w:tc>
          <w:tcPr>
            <w:tcW w:type="dxa" w:w="28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04000"/>
                <w:sz w:val="18"/>
                <w:szCs w:val="18"/>
              </w:rPr>
              <w:t xml:space="preserve">DOCTOR gains departmentId FK</w:t>
            </w:r>
          </w:p>
        </w:tc>
        <w:tc>
          <w:tcPr>
            <w:tcW w:type="dxa" w:w="728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Satisfies FR-28: Administrator assigns doctors to clinic departments. The previous version had no department reference on DOCTOR.</w:t>
            </w:r>
          </w:p>
        </w:tc>
      </w:tr>
      <w:tr>
        <w:tc>
          <w:tcPr>
            <w:tcW w:type="dxa" w:w="280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04000"/>
                <w:sz w:val="18"/>
                <w:szCs w:val="18"/>
              </w:rPr>
              <w:t xml:space="preserve">Cardinality labels standardised to crow's foot notation</w:t>
            </w:r>
          </w:p>
        </w:tc>
        <w:tc>
          <w:tcPr>
            <w:tcW w:type="dxa" w:w="7280"/>
            <w:gridSpan w:val="1"/>
            <w:tcBorders>
              <w:top w:val="single" w:color="AED6F1" w:sz="3"/>
              <w:left w:val="single" w:color="AED6F1" w:sz="3"/>
              <w:bottom w:val="single" w:color="AED6F1" w:sz="3"/>
              <w:right w:val="single" w:color="AED6F1" w:sz="3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Consistent notation across all connectors for academic presentation readability.</w:t>
            </w:r>
          </w:p>
        </w:tc>
      </w:tr>
    </w:tbl>
    <w:sectPr>
      <w:headerReference w:type="default" r:id="rId11"/>
      <w:footerReference w:type="default" r:id="rId12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8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85929E"/>
        <w:sz w:val="20"/>
        <w:szCs w:val="20"/>
      </w:rPr>
      <w:t xml:space="preserve">April 2026  ·  Confidential — Academic Use Only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color w:val="85929E"/>
        <w:sz w:val="20"/>
        <w:szCs w:val="20"/>
      </w:rPr>
      <w:t xml:space="preserve">Entity Relationship Diagram  ·  Page </w:t>
    </w:r>
    <w:r>
      <w:rPr>
        <w:rFonts w:ascii="Arial" w:cs="Arial" w:eastAsia="Arial" w:hAnsi="Arial"/>
        <w:color w:val="85929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5929E"/>
        <w:sz w:val="20"/>
        <w:szCs w:val="20"/>
      </w:rPr>
      <w:t xml:space="preserve"> of </w:t>
    </w:r>
    <w:r>
      <w:rPr>
        <w:rFonts w:ascii="Arial" w:cs="Arial" w:eastAsia="Arial" w:hAnsi="Arial"/>
        <w:color w:val="85929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8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85929E"/>
        <w:sz w:val="20"/>
        <w:szCs w:val="20"/>
      </w:rPr>
      <w:t xml:space="preserve">April 2026  ·  Confidential — Academic Use Only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color w:val="85929E"/>
        <w:sz w:val="20"/>
        <w:szCs w:val="20"/>
      </w:rPr>
      <w:t xml:space="preserve">Entity Relationship Diagram  ·  Page </w:t>
    </w:r>
    <w:r>
      <w:rPr>
        <w:rFonts w:ascii="Arial" w:cs="Arial" w:eastAsia="Arial" w:hAnsi="Arial"/>
        <w:color w:val="85929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5929E"/>
        <w:sz w:val="20"/>
        <w:szCs w:val="20"/>
      </w:rPr>
      <w:t xml:space="preserve"> of </w:t>
    </w:r>
    <w:r>
      <w:rPr>
        <w:rFonts w:ascii="Arial" w:cs="Arial" w:eastAsia="Arial" w:hAnsi="Arial"/>
        <w:color w:val="85929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8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85929E"/>
        <w:sz w:val="20"/>
        <w:szCs w:val="20"/>
      </w:rPr>
      <w:t xml:space="preserve">April 2026  ·  Confidential — Academic Use Only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color w:val="85929E"/>
        <w:sz w:val="20"/>
        <w:szCs w:val="20"/>
      </w:rPr>
      <w:t xml:space="preserve">Entity Relationship Diagram  ·  Page </w:t>
    </w:r>
    <w:r>
      <w:rPr>
        <w:rFonts w:ascii="Arial" w:cs="Arial" w:eastAsia="Arial" w:hAnsi="Arial"/>
        <w:color w:val="85929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5929E"/>
        <w:sz w:val="20"/>
        <w:szCs w:val="20"/>
      </w:rPr>
      <w:t xml:space="preserve"> of </w:t>
    </w:r>
    <w:r>
      <w:rPr>
        <w:rFonts w:ascii="Arial" w:cs="Arial" w:eastAsia="Arial" w:hAnsi="Arial"/>
        <w:color w:val="85929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8"/>
      </w:pBdr>
      <w:tabs>
        <w:tab w:val="right" w:pos="9360"/>
      </w:tabs>
      <w:spacing w:after="100" w:before="0"/>
    </w:pPr>
    <w:r>
      <w:rPr>
        <w:rFonts w:ascii="Arial" w:cs="Arial" w:eastAsia="Arial" w:hAnsi="Arial"/>
        <w:b/>
        <w:bCs/>
        <w:color w:val="1B4F72"/>
        <w:sz w:val="20"/>
        <w:szCs w:val="20"/>
      </w:rPr>
      <w:t xml:space="preserve">CQAMS</w:t>
    </w:r>
    <w:r>
      <w:rPr>
        <w:rFonts w:ascii="Arial" w:cs="Arial" w:eastAsia="Arial" w:hAnsi="Arial"/>
        <w:color w:val="85929E"/>
        <w:sz w:val="20"/>
        <w:szCs w:val="20"/>
      </w:rPr>
      <w:t xml:space="preserve">  ·  Clinic Queue &amp; Appointment Management System</w:t>
    </w:r>
    <w:r>
      <w:rPr>
        <w:rFonts w:ascii="Arial" w:cs="Arial" w:eastAsia="Arial" w:hAnsi="Arial"/>
        <w:color w:val="85929E"/>
        <w:sz w:val="20"/>
        <w:szCs w:val="20"/>
      </w:rPr>
      <w:t xml:space="preserve">  ·  SWE202 — Software Modeling and Design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8"/>
      </w:pBdr>
      <w:tabs>
        <w:tab w:val="right" w:pos="9360"/>
      </w:tabs>
      <w:spacing w:after="100" w:before="0"/>
    </w:pPr>
    <w:r>
      <w:rPr>
        <w:rFonts w:ascii="Arial" w:cs="Arial" w:eastAsia="Arial" w:hAnsi="Arial"/>
        <w:b/>
        <w:bCs/>
        <w:color w:val="1B4F72"/>
        <w:sz w:val="20"/>
        <w:szCs w:val="20"/>
      </w:rPr>
      <w:t xml:space="preserve">CQAMS</w:t>
    </w:r>
    <w:r>
      <w:rPr>
        <w:rFonts w:ascii="Arial" w:cs="Arial" w:eastAsia="Arial" w:hAnsi="Arial"/>
        <w:color w:val="85929E"/>
        <w:sz w:val="20"/>
        <w:szCs w:val="20"/>
      </w:rPr>
      <w:t xml:space="preserve">  ·  Clinic Queue &amp; Appointment Management System</w:t>
    </w:r>
    <w:r>
      <w:rPr>
        <w:rFonts w:ascii="Arial" w:cs="Arial" w:eastAsia="Arial" w:hAnsi="Arial"/>
        <w:color w:val="85929E"/>
        <w:sz w:val="20"/>
        <w:szCs w:val="20"/>
      </w:rPr>
      <w:t xml:space="preserve">  ·  SWE202 — Software Modeling and Design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8"/>
      </w:pBdr>
      <w:tabs>
        <w:tab w:val="right" w:pos="9360"/>
      </w:tabs>
      <w:spacing w:after="100" w:before="0"/>
    </w:pPr>
    <w:r>
      <w:rPr>
        <w:rFonts w:ascii="Arial" w:cs="Arial" w:eastAsia="Arial" w:hAnsi="Arial"/>
        <w:b/>
        <w:bCs/>
        <w:color w:val="1B4F72"/>
        <w:sz w:val="20"/>
        <w:szCs w:val="20"/>
      </w:rPr>
      <w:t xml:space="preserve">CQAMS</w:t>
    </w:r>
    <w:r>
      <w:rPr>
        <w:rFonts w:ascii="Arial" w:cs="Arial" w:eastAsia="Arial" w:hAnsi="Arial"/>
        <w:color w:val="85929E"/>
        <w:sz w:val="20"/>
        <w:szCs w:val="20"/>
      </w:rPr>
      <w:t xml:space="preserve">  ·  Clinic Queue &amp; Appointment Management System</w:t>
    </w:r>
    <w:r>
      <w:rPr>
        <w:rFonts w:ascii="Arial" w:cs="Arial" w:eastAsia="Arial" w:hAnsi="Arial"/>
        <w:color w:val="85929E"/>
        <w:sz w:val="20"/>
        <w:szCs w:val="20"/>
      </w:rPr>
      <w:t xml:space="preserve">  ·  SWE202 — Software Modeling and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e51e5cbb7901f5513ec4450e0f7ed5e67563d7af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2026-04-09T19:38:53.402Z</dcterms:created>
  <dcterms:modified xsi:type="dcterms:W3CDTF">2026-04-09T19:38:53.403Z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