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Jonathan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21.375.866-7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Sistema Web de Gestión de Inventario para ServiGenman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gestión de proyectos tecnológicos, optimización de procesos organizacionales.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Capacidad para diseñar, desarrollar y mantener aplicaciones web.</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Aplicar metodologías ágiles de gestión de proyectos.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Gestionar bases de datos y reportes para la toma de decisiones.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Implementar medidas de seguridad y usabilidad en aplicaciones tecnológicas.</w:t>
            </w:r>
          </w:p>
          <w:p w:rsidR="00000000" w:rsidDel="00000000" w:rsidP="00000000" w:rsidRDefault="00000000" w:rsidRPr="00000000" w14:paraId="00000022">
            <w:pPr>
              <w:rPr>
                <w:i w:val="1"/>
                <w:sz w:val="20"/>
                <w:szCs w:val="20"/>
              </w:rPr>
            </w:pP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La empresa </w:t>
            </w:r>
            <w:r w:rsidDel="00000000" w:rsidR="00000000" w:rsidRPr="00000000">
              <w:rPr>
                <w:i w:val="1"/>
                <w:rtl w:val="0"/>
              </w:rPr>
              <w:t xml:space="preserve">ServiGenman</w:t>
            </w:r>
            <w:r w:rsidDel="00000000" w:rsidR="00000000" w:rsidRPr="00000000">
              <w:rPr>
                <w:i w:val="1"/>
                <w:rtl w:val="0"/>
              </w:rPr>
              <w:t xml:space="preserve"> enfrenta dificultades en el control de materiales y herramientas, lo que genera sobrecostos, pérdidas de inventario y baja eficiencia en la gestión. El proyecto busca solucionar esta problemática mediante la implementación de un sistema web de inventario que permita centralizar la información, generar alertas automáticas y reducir gastos. Esto es relevante en el ámbito profesional porque responde a la creciente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consiste en el desarrollo de una página web para la gestión de inventario, que permitirá realizar operaciones CRUD, emitir alertas automáticas por correo cuando un recurso esté por agotarse, exportar reportes a Excel/CSV y mostrar presupuestos totales invertidos.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vincula con el perfil de egreso en competencias de desarrollo de software, gestión de proyectos, y uso de metodologías ágiles. Estas son fundamentales para transformar los requerimientos de negocio en una solución tecnológica funcional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fortalece la experiencia en desarrollo web y gestión de sistemas de información, áreas de interés profesional relacionadas con la ingeniería en informática y el desarrollo de soluciones empresariales.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spacing w:after="240" w:before="240" w:lineRule="auto"/>
              <w:rPr>
                <w:i w:val="1"/>
                <w:sz w:val="20"/>
                <w:szCs w:val="20"/>
              </w:rPr>
            </w:pPr>
            <w:r w:rsidDel="00000000" w:rsidR="00000000" w:rsidRPr="00000000">
              <w:rPr>
                <w:i w:val="1"/>
                <w:sz w:val="20"/>
                <w:szCs w:val="20"/>
                <w:rtl w:val="0"/>
              </w:rPr>
              <w:t xml:space="preserve">El proyecto es factible ya que cuenta con:</w:t>
            </w:r>
          </w:p>
          <w:p w:rsidR="00000000" w:rsidDel="00000000" w:rsidP="00000000" w:rsidRDefault="00000000" w:rsidRPr="00000000" w14:paraId="00000031">
            <w:pPr>
              <w:numPr>
                <w:ilvl w:val="0"/>
                <w:numId w:val="1"/>
              </w:numPr>
              <w:spacing w:after="0" w:before="240" w:lineRule="auto"/>
              <w:ind w:left="720" w:hanging="360"/>
              <w:rPr>
                <w:i w:val="1"/>
                <w:sz w:val="20"/>
                <w:szCs w:val="20"/>
              </w:rPr>
            </w:pPr>
            <w:r w:rsidDel="00000000" w:rsidR="00000000" w:rsidRPr="00000000">
              <w:rPr>
                <w:b w:val="1"/>
                <w:i w:val="1"/>
                <w:sz w:val="20"/>
                <w:szCs w:val="20"/>
                <w:rtl w:val="0"/>
              </w:rPr>
              <w:t xml:space="preserve">Tiempo</w:t>
            </w:r>
            <w:r w:rsidDel="00000000" w:rsidR="00000000" w:rsidRPr="00000000">
              <w:rPr>
                <w:i w:val="1"/>
                <w:sz w:val="20"/>
                <w:szCs w:val="20"/>
                <w:rtl w:val="0"/>
              </w:rPr>
              <w:t xml:space="preserve">: 6 semanas (plazo definido en el acta).</w:t>
              <w:br w:type="textWrapping"/>
            </w:r>
          </w:p>
          <w:p w:rsidR="00000000" w:rsidDel="00000000" w:rsidP="00000000" w:rsidRDefault="00000000" w:rsidRPr="00000000" w14:paraId="00000032">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Recursos humanos</w:t>
            </w:r>
            <w:r w:rsidDel="00000000" w:rsidR="00000000" w:rsidRPr="00000000">
              <w:rPr>
                <w:i w:val="1"/>
                <w:sz w:val="20"/>
                <w:szCs w:val="20"/>
                <w:rtl w:val="0"/>
              </w:rPr>
              <w:t xml:space="preserve">: 3 integrantes (Scrum Master, desarrollador y responsable de documentación).</w:t>
              <w:br w:type="textWrapping"/>
            </w:r>
          </w:p>
          <w:p w:rsidR="00000000" w:rsidDel="00000000" w:rsidP="00000000" w:rsidRDefault="00000000" w:rsidRPr="00000000" w14:paraId="00000033">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Tecnología</w:t>
            </w:r>
            <w:r w:rsidDel="00000000" w:rsidR="00000000" w:rsidRPr="00000000">
              <w:rPr>
                <w:i w:val="1"/>
                <w:sz w:val="20"/>
                <w:szCs w:val="20"/>
                <w:rtl w:val="0"/>
              </w:rPr>
              <w:t xml:space="preserve">: uso de herramientas de código abierto y hosting económico.</w:t>
              <w:br w:type="textWrapping"/>
            </w:r>
          </w:p>
          <w:p w:rsidR="00000000" w:rsidDel="00000000" w:rsidP="00000000" w:rsidRDefault="00000000" w:rsidRPr="00000000" w14:paraId="00000034">
            <w:pPr>
              <w:numPr>
                <w:ilvl w:val="0"/>
                <w:numId w:val="1"/>
              </w:numPr>
              <w:spacing w:after="0" w:before="0" w:lineRule="auto"/>
              <w:ind w:left="720" w:hanging="360"/>
              <w:rPr>
                <w:i w:val="1"/>
                <w:sz w:val="20"/>
                <w:szCs w:val="20"/>
              </w:rPr>
            </w:pPr>
            <w:r w:rsidDel="00000000" w:rsidR="00000000" w:rsidRPr="00000000">
              <w:rPr>
                <w:b w:val="1"/>
                <w:i w:val="1"/>
                <w:sz w:val="20"/>
                <w:szCs w:val="20"/>
                <w:rtl w:val="0"/>
              </w:rPr>
              <w:t xml:space="preserve">Facilitadores</w:t>
            </w:r>
            <w:r w:rsidDel="00000000" w:rsidR="00000000" w:rsidRPr="00000000">
              <w:rPr>
                <w:i w:val="1"/>
                <w:sz w:val="20"/>
                <w:szCs w:val="20"/>
                <w:rtl w:val="0"/>
              </w:rPr>
              <w:t xml:space="preserve">: apoyo del cliente, metodología ágil y recursos básicos disponibles.</w:t>
              <w:br w:type="textWrapping"/>
            </w:r>
          </w:p>
          <w:p w:rsidR="00000000" w:rsidDel="00000000" w:rsidP="00000000" w:rsidRDefault="00000000" w:rsidRPr="00000000" w14:paraId="00000035">
            <w:pPr>
              <w:numPr>
                <w:ilvl w:val="0"/>
                <w:numId w:val="1"/>
              </w:numPr>
              <w:spacing w:after="240" w:before="0" w:lineRule="auto"/>
              <w:ind w:left="720" w:hanging="360"/>
              <w:rPr>
                <w:i w:val="1"/>
                <w:sz w:val="20"/>
                <w:szCs w:val="20"/>
              </w:rPr>
            </w:pPr>
            <w:r w:rsidDel="00000000" w:rsidR="00000000" w:rsidRPr="00000000">
              <w:rPr>
                <w:b w:val="1"/>
                <w:i w:val="1"/>
                <w:sz w:val="20"/>
                <w:szCs w:val="20"/>
                <w:rtl w:val="0"/>
              </w:rPr>
              <w:t xml:space="preserve">Dificultadores</w:t>
            </w:r>
            <w:r w:rsidDel="00000000" w:rsidR="00000000" w:rsidRPr="00000000">
              <w:rPr>
                <w:i w:val="1"/>
                <w:sz w:val="20"/>
                <w:szCs w:val="20"/>
                <w:rtl w:val="0"/>
              </w:rPr>
              <w:t xml:space="preserve">: límite de presupuesto y poco tiempo; se soluciona mediante gestión ágil y priorización de funcionalidades.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i w:val="1"/>
                <w:sz w:val="20"/>
                <w:szCs w:val="20"/>
              </w:rPr>
            </w:pPr>
            <w:r w:rsidDel="00000000" w:rsidR="00000000" w:rsidRPr="00000000">
              <w:rPr>
                <w:rtl w:val="0"/>
              </w:rPr>
            </w:r>
          </w:p>
        </w:tc>
      </w:tr>
    </w:tbl>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3"/>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f3863"/>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t xml:space="preserve">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center"/>
              <w:rPr>
                <w:i w:val="1"/>
                <w:sz w:val="20"/>
                <w:szCs w:val="20"/>
              </w:rPr>
            </w:pPr>
            <w:r w:rsidDel="00000000" w:rsidR="00000000" w:rsidRPr="00000000">
              <w:rPr>
                <w:rtl w:val="0"/>
              </w:rPr>
            </w:r>
          </w:p>
        </w:tc>
        <w:tc>
          <w:tcPr/>
          <w:p w:rsidR="00000000" w:rsidDel="00000000" w:rsidP="00000000" w:rsidRDefault="00000000" w:rsidRPr="00000000" w14:paraId="00000082">
            <w:pPr>
              <w:jc w:val="center"/>
              <w:rPr>
                <w:sz w:val="20"/>
                <w:szCs w:val="20"/>
              </w:rPr>
            </w:pPr>
            <w:r w:rsidDel="00000000" w:rsidR="00000000" w:rsidRPr="00000000">
              <w:rPr>
                <w:rtl w:val="0"/>
              </w:rPr>
            </w:r>
          </w:p>
        </w:tc>
        <w:tc>
          <w:tcPr/>
          <w:p w:rsidR="00000000" w:rsidDel="00000000" w:rsidP="00000000" w:rsidRDefault="00000000" w:rsidRPr="00000000" w14:paraId="00000083">
            <w:pPr>
              <w:jc w:val="center"/>
              <w:rPr>
                <w:sz w:val="20"/>
                <w:szCs w:val="20"/>
              </w:rPr>
            </w:pPr>
            <w:r w:rsidDel="00000000" w:rsidR="00000000" w:rsidRPr="00000000">
              <w:rPr>
                <w:rtl w:val="0"/>
              </w:rPr>
            </w:r>
          </w:p>
        </w:tc>
        <w:tc>
          <w:tcPr/>
          <w:p w:rsidR="00000000" w:rsidDel="00000000" w:rsidP="00000000" w:rsidRDefault="00000000" w:rsidRPr="00000000" w14:paraId="00000084">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5">
            <w:pPr>
              <w:jc w:val="center"/>
              <w:rPr>
                <w:i w:val="1"/>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center"/>
              <w:rPr>
                <w:sz w:val="20"/>
                <w:szCs w:val="20"/>
              </w:rPr>
            </w:pPr>
            <w:r w:rsidDel="00000000" w:rsidR="00000000" w:rsidRPr="00000000">
              <w:rPr>
                <w:rtl w:val="0"/>
              </w:rPr>
            </w:r>
          </w:p>
        </w:tc>
        <w:tc>
          <w:tcPr/>
          <w:p w:rsidR="00000000" w:rsidDel="00000000" w:rsidP="00000000" w:rsidRDefault="00000000" w:rsidRPr="00000000" w14:paraId="00000087">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i w:val="1"/>
                <w:sz w:val="20"/>
                <w:szCs w:val="20"/>
              </w:rPr>
            </w:pPr>
            <w:r w:rsidDel="00000000" w:rsidR="00000000" w:rsidRPr="00000000">
              <w:rPr>
                <w:rtl w:val="0"/>
              </w:rPr>
            </w:r>
          </w:p>
        </w:tc>
        <w:tc>
          <w:tcPr/>
          <w:p w:rsidR="00000000" w:rsidDel="00000000" w:rsidP="00000000" w:rsidRDefault="00000000" w:rsidRPr="00000000" w14:paraId="00000089">
            <w:pPr>
              <w:jc w:val="center"/>
              <w:rPr>
                <w:i w:val="1"/>
                <w:sz w:val="20"/>
                <w:szCs w:val="20"/>
              </w:rPr>
            </w:pPr>
            <w:r w:rsidDel="00000000" w:rsidR="00000000" w:rsidRPr="00000000">
              <w:rPr>
                <w:rtl w:val="0"/>
              </w:rPr>
            </w:r>
          </w:p>
        </w:tc>
        <w:tc>
          <w:tcPr/>
          <w:p w:rsidR="00000000" w:rsidDel="00000000" w:rsidP="00000000" w:rsidRDefault="00000000" w:rsidRPr="00000000" w14:paraId="0000008A">
            <w:pPr>
              <w:jc w:val="center"/>
              <w:rPr>
                <w:i w:val="1"/>
                <w:sz w:val="20"/>
                <w:szCs w:val="20"/>
              </w:rPr>
            </w:pPr>
            <w:r w:rsidDel="00000000" w:rsidR="00000000" w:rsidRPr="00000000">
              <w:rPr>
                <w:rtl w:val="0"/>
              </w:rPr>
            </w:r>
          </w:p>
        </w:tc>
        <w:tc>
          <w:tcPr/>
          <w:p w:rsidR="00000000" w:rsidDel="00000000" w:rsidP="00000000" w:rsidRDefault="00000000" w:rsidRPr="00000000" w14:paraId="0000008B">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center"/>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center"/>
              <w:rPr>
                <w:i w:val="1"/>
                <w:sz w:val="20"/>
                <w:szCs w:val="20"/>
              </w:rPr>
            </w:pPr>
            <w:r w:rsidDel="00000000" w:rsidR="00000000" w:rsidRPr="00000000">
              <w:rPr>
                <w:rtl w:val="0"/>
              </w:rPr>
            </w:r>
          </w:p>
        </w:tc>
        <w:tc>
          <w:tcPr/>
          <w:p w:rsidR="00000000" w:rsidDel="00000000" w:rsidP="00000000" w:rsidRDefault="00000000" w:rsidRPr="00000000" w14:paraId="0000008E">
            <w:pPr>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i w:val="1"/>
                <w:sz w:val="20"/>
                <w:szCs w:val="20"/>
              </w:rPr>
            </w:pPr>
            <w:r w:rsidDel="00000000" w:rsidR="00000000" w:rsidRPr="00000000">
              <w:rPr>
                <w:rtl w:val="0"/>
              </w:rPr>
            </w:r>
          </w:p>
        </w:tc>
        <w:tc>
          <w:tcPr/>
          <w:p w:rsidR="00000000" w:rsidDel="00000000" w:rsidP="00000000" w:rsidRDefault="00000000" w:rsidRPr="00000000" w14:paraId="00000090">
            <w:pPr>
              <w:jc w:val="center"/>
              <w:rPr>
                <w:i w:val="1"/>
                <w:sz w:val="20"/>
                <w:szCs w:val="20"/>
              </w:rPr>
            </w:pPr>
            <w:r w:rsidDel="00000000" w:rsidR="00000000" w:rsidRPr="00000000">
              <w:rPr>
                <w:rtl w:val="0"/>
              </w:rPr>
            </w:r>
          </w:p>
        </w:tc>
        <w:tc>
          <w:tcPr/>
          <w:p w:rsidR="00000000" w:rsidDel="00000000" w:rsidP="00000000" w:rsidRDefault="00000000" w:rsidRPr="00000000" w14:paraId="00000091">
            <w:pPr>
              <w:jc w:val="center"/>
              <w:rPr>
                <w:i w:val="1"/>
                <w:sz w:val="20"/>
                <w:szCs w:val="20"/>
              </w:rPr>
            </w:pPr>
            <w:r w:rsidDel="00000000" w:rsidR="00000000" w:rsidRPr="00000000">
              <w:rPr>
                <w:rtl w:val="0"/>
              </w:rPr>
            </w:r>
          </w:p>
        </w:tc>
        <w:tc>
          <w:tcPr/>
          <w:p w:rsidR="00000000" w:rsidDel="00000000" w:rsidP="00000000" w:rsidRDefault="00000000" w:rsidRPr="00000000" w14:paraId="00000092">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center"/>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center"/>
              <w:rPr>
                <w:i w:val="1"/>
                <w:sz w:val="20"/>
                <w:szCs w:val="20"/>
              </w:rPr>
            </w:pPr>
            <w:r w:rsidDel="00000000" w:rsidR="00000000" w:rsidRPr="00000000">
              <w:rPr>
                <w:rtl w:val="0"/>
              </w:rPr>
            </w:r>
          </w:p>
        </w:tc>
        <w:tc>
          <w:tcPr/>
          <w:p w:rsidR="00000000" w:rsidDel="00000000" w:rsidP="00000000" w:rsidRDefault="00000000" w:rsidRPr="00000000" w14:paraId="00000095">
            <w:pPr>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i w:val="1"/>
                <w:sz w:val="20"/>
                <w:szCs w:val="20"/>
              </w:rPr>
            </w:pPr>
            <w:r w:rsidDel="00000000" w:rsidR="00000000" w:rsidRPr="00000000">
              <w:rPr>
                <w:rtl w:val="0"/>
              </w:rPr>
            </w:r>
          </w:p>
        </w:tc>
        <w:tc>
          <w:tcPr/>
          <w:p w:rsidR="00000000" w:rsidDel="00000000" w:rsidP="00000000" w:rsidRDefault="00000000" w:rsidRPr="00000000" w14:paraId="00000097">
            <w:pPr>
              <w:jc w:val="center"/>
              <w:rPr>
                <w:i w:val="1"/>
                <w:sz w:val="20"/>
                <w:szCs w:val="20"/>
              </w:rPr>
            </w:pPr>
            <w:r w:rsidDel="00000000" w:rsidR="00000000" w:rsidRPr="00000000">
              <w:rPr>
                <w:rtl w:val="0"/>
              </w:rPr>
            </w:r>
          </w:p>
        </w:tc>
        <w:tc>
          <w:tcPr/>
          <w:p w:rsidR="00000000" w:rsidDel="00000000" w:rsidP="00000000" w:rsidRDefault="00000000" w:rsidRPr="00000000" w14:paraId="00000098">
            <w:pPr>
              <w:jc w:val="center"/>
              <w:rPr>
                <w:i w:val="1"/>
                <w:sz w:val="20"/>
                <w:szCs w:val="20"/>
              </w:rPr>
            </w:pPr>
            <w:r w:rsidDel="00000000" w:rsidR="00000000" w:rsidRPr="00000000">
              <w:rPr>
                <w:rtl w:val="0"/>
              </w:rPr>
            </w:r>
          </w:p>
        </w:tc>
        <w:tc>
          <w:tcPr/>
          <w:p w:rsidR="00000000" w:rsidDel="00000000" w:rsidP="00000000" w:rsidRDefault="00000000" w:rsidRPr="00000000" w14:paraId="00000099">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center"/>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center"/>
              <w:rPr>
                <w:i w:val="1"/>
                <w:sz w:val="20"/>
                <w:szCs w:val="20"/>
              </w:rPr>
            </w:pPr>
            <w:r w:rsidDel="00000000" w:rsidR="00000000" w:rsidRPr="00000000">
              <w:rPr>
                <w:rtl w:val="0"/>
              </w:rPr>
            </w:r>
          </w:p>
        </w:tc>
        <w:tc>
          <w:tcPr/>
          <w:p w:rsidR="00000000" w:rsidDel="00000000" w:rsidP="00000000" w:rsidRDefault="00000000" w:rsidRPr="00000000" w14:paraId="0000009C">
            <w:pPr>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i w:val="1"/>
                <w:sz w:val="20"/>
                <w:szCs w:val="20"/>
              </w:rPr>
            </w:pPr>
            <w:r w:rsidDel="00000000" w:rsidR="00000000" w:rsidRPr="00000000">
              <w:rPr>
                <w:rtl w:val="0"/>
              </w:rPr>
            </w:r>
          </w:p>
        </w:tc>
        <w:tc>
          <w:tcPr/>
          <w:p w:rsidR="00000000" w:rsidDel="00000000" w:rsidP="00000000" w:rsidRDefault="00000000" w:rsidRPr="00000000" w14:paraId="0000009E">
            <w:pPr>
              <w:jc w:val="center"/>
              <w:rPr>
                <w:i w:val="1"/>
                <w:sz w:val="20"/>
                <w:szCs w:val="20"/>
              </w:rPr>
            </w:pPr>
            <w:r w:rsidDel="00000000" w:rsidR="00000000" w:rsidRPr="00000000">
              <w:rPr>
                <w:rtl w:val="0"/>
              </w:rPr>
            </w:r>
          </w:p>
        </w:tc>
        <w:tc>
          <w:tcPr/>
          <w:p w:rsidR="00000000" w:rsidDel="00000000" w:rsidP="00000000" w:rsidRDefault="00000000" w:rsidRPr="00000000" w14:paraId="0000009F">
            <w:pPr>
              <w:jc w:val="center"/>
              <w:rPr>
                <w:i w:val="1"/>
                <w:sz w:val="20"/>
                <w:szCs w:val="20"/>
              </w:rPr>
            </w:pPr>
            <w:r w:rsidDel="00000000" w:rsidR="00000000" w:rsidRPr="00000000">
              <w:rPr>
                <w:rtl w:val="0"/>
              </w:rPr>
            </w:r>
          </w:p>
        </w:tc>
        <w:tc>
          <w:tcPr/>
          <w:p w:rsidR="00000000" w:rsidDel="00000000" w:rsidP="00000000" w:rsidRDefault="00000000" w:rsidRPr="00000000" w14:paraId="000000A0">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center"/>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center"/>
              <w:rPr>
                <w:i w:val="1"/>
                <w:sz w:val="20"/>
                <w:szCs w:val="20"/>
              </w:rPr>
            </w:pPr>
            <w:r w:rsidDel="00000000" w:rsidR="00000000" w:rsidRPr="00000000">
              <w:rPr>
                <w:rtl w:val="0"/>
              </w:rPr>
            </w:r>
          </w:p>
        </w:tc>
        <w:tc>
          <w:tcPr/>
          <w:p w:rsidR="00000000" w:rsidDel="00000000" w:rsidP="00000000" w:rsidRDefault="00000000" w:rsidRPr="00000000" w14:paraId="000000A3">
            <w:pPr>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i w:val="1"/>
                <w:sz w:val="20"/>
                <w:szCs w:val="20"/>
              </w:rPr>
            </w:pPr>
            <w:r w:rsidDel="00000000" w:rsidR="00000000" w:rsidRPr="00000000">
              <w:rPr>
                <w:rtl w:val="0"/>
              </w:rPr>
            </w:r>
          </w:p>
        </w:tc>
        <w:tc>
          <w:tcPr/>
          <w:p w:rsidR="00000000" w:rsidDel="00000000" w:rsidP="00000000" w:rsidRDefault="00000000" w:rsidRPr="00000000" w14:paraId="000000A5">
            <w:pPr>
              <w:jc w:val="center"/>
              <w:rPr>
                <w:i w:val="1"/>
                <w:sz w:val="20"/>
                <w:szCs w:val="20"/>
              </w:rPr>
            </w:pPr>
            <w:r w:rsidDel="00000000" w:rsidR="00000000" w:rsidRPr="00000000">
              <w:rPr>
                <w:rtl w:val="0"/>
              </w:rPr>
            </w:r>
          </w:p>
        </w:tc>
        <w:tc>
          <w:tcPr/>
          <w:p w:rsidR="00000000" w:rsidDel="00000000" w:rsidP="00000000" w:rsidRDefault="00000000" w:rsidRPr="00000000" w14:paraId="000000A6">
            <w:pPr>
              <w:jc w:val="center"/>
              <w:rPr>
                <w:i w:val="1"/>
                <w:sz w:val="20"/>
                <w:szCs w:val="20"/>
              </w:rPr>
            </w:pPr>
            <w:r w:rsidDel="00000000" w:rsidR="00000000" w:rsidRPr="00000000">
              <w:rPr>
                <w:rtl w:val="0"/>
              </w:rPr>
            </w:r>
          </w:p>
        </w:tc>
        <w:tc>
          <w:tcPr/>
          <w:p w:rsidR="00000000" w:rsidDel="00000000" w:rsidP="00000000" w:rsidRDefault="00000000" w:rsidRPr="00000000" w14:paraId="000000A7">
            <w:pPr>
              <w:jc w:val="cente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center"/>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center"/>
              <w:rPr>
                <w:i w:val="1"/>
                <w:sz w:val="20"/>
                <w:szCs w:val="20"/>
              </w:rPr>
            </w:pPr>
            <w:r w:rsidDel="00000000" w:rsidR="00000000" w:rsidRPr="00000000">
              <w:rPr>
                <w:rtl w:val="0"/>
              </w:rPr>
            </w:r>
          </w:p>
        </w:tc>
        <w:tc>
          <w:tcPr/>
          <w:p w:rsidR="00000000" w:rsidDel="00000000" w:rsidP="00000000" w:rsidRDefault="00000000" w:rsidRPr="00000000" w14:paraId="000000AA">
            <w:pPr>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19cr3qGayzf01iChlHZbMLXg1w==">CgMxLjA4AHIhMUlUYzlNcHZ1cU8ybFVycktiYzVySnNBLVR2M1dYd1lj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