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ebe6ee45a7a103e4ff7ba716da92106c80815d3"/>
    <w:p>
      <w:pPr>
        <w:pStyle w:val="Heading1"/>
      </w:pPr>
      <w:r>
        <w:t xml:space="preserve">All Carriers Allowed: Design Principles for Distributed Ledger-Based Cross-Domain Data Sharing Between Guarantee of Origin Schemes</w:t>
      </w:r>
    </w:p>
    <w:bookmarkStart w:id="9" w:name="abstract"/>
    <w:p>
      <w:pPr>
        <w:pStyle w:val="Heading2"/>
      </w:pPr>
      <w:r>
        <w:t xml:space="preserve">Abstract</w:t>
      </w:r>
    </w:p>
    <w:p>
      <w:pPr>
        <w:pStyle w:val="FirstParagraph"/>
      </w:pPr>
      <w:r>
        <w:t xml:space="preserve">Guarantees of origin (GOs) are the principal instrument for tracking renewable energy attributes across European energy markets. As the revised Renewable Energy Directive (RED III) mandates GO schemes for alternative energy carriers—hydrogen, biogas, and district heating—interoperability between previously siloed registries becomes an operational necessity. Energy carrier conversion processes, such as power-to-hydrogen, require cross-domain data sharing between GO schemes that current centralized IT architectures cannot adequately support. This paper employs a Design Science Research (DSR) approach to derive design principles (DPs) for interoperable GO scheme architectures. We instantiate these DPs in a Hyperledger Fabric prototype, iteratively developed over seven design cycles, and evaluate the artifact against four meta-requirements: scalability, verifiability, privacy, and interoperability. Caliper benchmarks on a production-grade deployment demonstrate sustained 50 TPS write throughput and 2,000 TPS read throughput. We contribute four empirically grounded design principles to the nascent design theory for blockchain-based energy certificate systems.</w:t>
      </w:r>
    </w:p>
    <w:p>
      <w:pPr>
        <w:pStyle w:val="BodyText"/>
      </w:pPr>
      <w:r>
        <w:rPr>
          <w:b/>
          <w:bCs/>
        </w:rPr>
        <w:t xml:space="preserve">Keywords:</w:t>
      </w:r>
      <w:r>
        <w:t xml:space="preserve"> </w:t>
      </w:r>
      <w:r>
        <w:t xml:space="preserve">Guarantees of Origin; Design Science Research; Distributed Ledger Technology; Hyperledger Fabric; Energy Carrier Conversion</w:t>
      </w:r>
    </w:p>
    <w:p>
      <w:r>
        <w:pict>
          <v:rect style="width:0;height:1.5pt" o:hralign="center" o:hrstd="t" o:hr="t"/>
        </w:pict>
      </w:r>
    </w:p>
    <w:bookmarkEnd w:id="9"/>
    <w:bookmarkStart w:id="16" w:name="introduction"/>
    <w:p>
      <w:pPr>
        <w:pStyle w:val="Heading2"/>
      </w:pPr>
      <w:r>
        <w:t xml:space="preserve">1. Introduction</w:t>
      </w:r>
    </w:p>
    <w:bookmarkStart w:id="10" w:name="hook-motivating-entry"/>
    <w:p>
      <w:pPr>
        <w:pStyle w:val="Heading3"/>
      </w:pPr>
      <w:r>
        <w:t xml:space="preserve">1.1 Hook / Motivating Entry</w:t>
      </w:r>
    </w:p>
    <w:p>
      <w:pPr>
        <w:pStyle w:val="FirstParagraph"/>
      </w:pPr>
      <w:r>
        <w:t xml:space="preserve">In 2023, European GO markets facilitated the transfer of over 700 million certificates, each representing one megawatt-hour of renewable energy production (Association of Issuing Bodies 2023). Yet these certificates tracked only one energy carrier—electricity. With the European Commission’s revised Renewable Energy Directive (RED III) mandating GO schemes for hydrogen, biogas, and district heating, the number of interacting GO registries is set to multiply. The question is no longer</w:t>
      </w:r>
      <w:r>
        <w:t xml:space="preserve"> </w:t>
      </w:r>
      <w:r>
        <w:rPr>
          <w:i/>
          <w:iCs/>
        </w:rPr>
        <w:t xml:space="preserve">whether</w:t>
      </w:r>
      <w:r>
        <w:t xml:space="preserve"> </w:t>
      </w:r>
      <w:r>
        <w:t xml:space="preserve">these registries must communicate, but</w:t>
      </w:r>
      <w:r>
        <w:t xml:space="preserve"> </w:t>
      </w:r>
      <w:r>
        <w:rPr>
          <w:i/>
          <w:iCs/>
        </w:rPr>
        <w:t xml:space="preserve">how</w:t>
      </w:r>
      <w:r>
        <w:t xml:space="preserve"> </w:t>
      </w:r>
      <w:r>
        <w:t xml:space="preserve">their underlying IT architectures can be designed to support verifiable, privacy-preserving, cross-domain data sharing at scale.</w:t>
      </w:r>
    </w:p>
    <w:bookmarkEnd w:id="10"/>
    <w:bookmarkStart w:id="11" w:name="problem-relevance"/>
    <w:p>
      <w:pPr>
        <w:pStyle w:val="Heading3"/>
      </w:pPr>
      <w:r>
        <w:t xml:space="preserve">1.2 Problem Relevance</w:t>
      </w:r>
    </w:p>
    <w:p>
      <w:pPr>
        <w:pStyle w:val="FirstParagraph"/>
      </w:pPr>
      <w:r>
        <w:t xml:space="preserve">The decarbonization of the European energy system depends critically on sector coupling—the integration of electricity, gas, hydrogen, and heating grids through energy carrier conversion technologies such as electrolysis, methanation, and combined heat and power. When a producer converts electricity into green hydrogen via electrolysis, the renewable energy attributes documented by electricity GOs must be verifiably transferred onto the resulting hydrogen GOs. This process, termed</w:t>
      </w:r>
      <w:r>
        <w:t xml:space="preserve"> </w:t>
      </w:r>
      <w:r>
        <w:rPr>
          <w:i/>
          <w:iCs/>
        </w:rPr>
        <w:t xml:space="preserve">conversion issuance</w:t>
      </w:r>
      <w:r>
        <w:t xml:space="preserve"> </w:t>
      </w:r>
      <w:r>
        <w:t xml:space="preserve">in the CEN-EN 16325 standard, requires cross-domain data sharing between GO registries that are currently operated by different national bodies using heterogeneous centralized IT systems (Verwimp et al. 2022).</w:t>
      </w:r>
    </w:p>
    <w:p>
      <w:pPr>
        <w:pStyle w:val="BodyText"/>
      </w:pPr>
      <w:r>
        <w:t xml:space="preserve">Current GO scheme architectures suffer from several structural deficiencies that are exacerbated by cross-carrier interoperability requirements: high transaction costs from monopolistic platform operators (Bogensperger and Zeiselmair 2020), long GO approval cycles driven by manual auditing processes (Nofuentes et al. 2022), lack of transparency to market participants enabling potential abuse (Li et al. 2022), and privacy concerns from centralized data storage with single points of failure (Albrecht et al. 2018). These problems have been individually documented in the literature, but their interaction in the context of cross-carrier conversion issuance creates a design challenge that has received minimal systematic attention from IS researchers.</w:t>
      </w:r>
    </w:p>
    <w:bookmarkEnd w:id="11"/>
    <w:bookmarkStart w:id="12" w:name="research-gap"/>
    <w:p>
      <w:pPr>
        <w:pStyle w:val="Heading3"/>
      </w:pPr>
      <w:r>
        <w:t xml:space="preserve">1.3 Research Gap</w:t>
      </w:r>
    </w:p>
    <w:p>
      <w:pPr>
        <w:pStyle w:val="FirstParagraph"/>
      </w:pPr>
      <w:r>
        <w:t xml:space="preserve">While a substantial body of Green IS literature has investigated the general suitability of distributed ledger technology (DLT) for energy GO schemes (Sedlmeir et al. 2021; Knirsch et al. 2018; Al Sadawi et al. 2021), no prior work has systematically derived design principles for GO architectures that must support cross-domain data sharing between multiple energy carrier schemes. Existing DLT-based GO prototypes address single-carrier electricity certificates (Ølnes et al. 2022) or provide conceptual frameworks without rigorous evaluation against production-scale benchmarks (Chuang et al. 2019). The few studies addressing multi-carrier energy certificate systems remain at the conceptual level (Mould et al. 2022; Körner 2021), without translating architectural requirements into actionable design guidance grounded in implemented and evaluated artifacts. Moreover, existing IS design theory lacks prescriptive knowledge for the specific technical challenges arising from conversion issuance: verifying energy carrier conversion ratios across registry boundaries, preventing cross-carrier double counting of renewable attributes, and preserving data sovereignty when commercially sensitive production data must flow between organizations. The conversion issuance use case—requiring simultaneous verifiable data sharing across scheme boundaries, privacy preservation of commercially sensitive production data, and scalable throughput for IoT-integrated metering devices—remains an open design problem at the intersection of energy informatics and IS design theory.</w:t>
      </w:r>
    </w:p>
    <w:bookmarkEnd w:id="12"/>
    <w:bookmarkStart w:id="13" w:name="research-question"/>
    <w:p>
      <w:pPr>
        <w:pStyle w:val="Heading3"/>
      </w:pPr>
      <w:r>
        <w:t xml:space="preserve">1.4 Research Question</w:t>
      </w:r>
    </w:p>
    <w:p>
      <w:pPr>
        <w:pStyle w:val="FirstParagraph"/>
      </w:pPr>
      <w:r>
        <w:rPr>
          <w:b/>
          <w:bCs/>
        </w:rPr>
        <w:t xml:space="preserve">RQ:</w:t>
      </w:r>
      <w:r>
        <w:t xml:space="preserve"> </w:t>
      </w:r>
      <w:r>
        <w:rPr>
          <w:i/>
          <w:iCs/>
        </w:rPr>
        <w:t xml:space="preserve">How to design an information system of interoperable GO schemes that allows verifiable cross-domain data sharing and asset transfer to enable energy carrier conversion processes in multi-carrier energy systems?</w:t>
      </w:r>
    </w:p>
    <w:bookmarkEnd w:id="13"/>
    <w:bookmarkStart w:id="14" w:name="contributions"/>
    <w:p>
      <w:pPr>
        <w:pStyle w:val="Heading3"/>
      </w:pPr>
      <w:r>
        <w:t xml:space="preserve">1.5 Contributions</w:t>
      </w:r>
    </w:p>
    <w:p>
      <w:pPr>
        <w:pStyle w:val="FirstParagraph"/>
      </w:pPr>
      <w:r>
        <w:t xml:space="preserve">This paper makes three contributions:</w:t>
      </w:r>
    </w:p>
    <w:p>
      <w:pPr>
        <w:numPr>
          <w:ilvl w:val="0"/>
          <w:numId w:val="1001"/>
        </w:numPr>
      </w:pPr>
      <w:r>
        <w:rPr>
          <w:b/>
          <w:bCs/>
        </w:rPr>
        <w:t xml:space="preserve">Theoretical contribution:</w:t>
      </w:r>
      <w:r>
        <w:t xml:space="preserve"> </w:t>
      </w:r>
      <w:r>
        <w:t xml:space="preserve">We derive four empirically grounded design principles—scalability, verifiability, privacy, and interoperability—for DLT-based GO scheme architectures, formulated using the anatomy of a design principle schema (Gregor et al. 2020). These DPs extend the nascent design theory for blockchain-based energy certificate systems by addressing the previously unexamined cross-carrier interoperability dimension.</w:t>
      </w:r>
    </w:p>
    <w:p>
      <w:pPr>
        <w:numPr>
          <w:ilvl w:val="0"/>
          <w:numId w:val="1001"/>
        </w:numPr>
      </w:pPr>
      <w:r>
        <w:rPr>
          <w:b/>
          <w:bCs/>
        </w:rPr>
        <w:t xml:space="preserve">Practical contribution:</w:t>
      </w:r>
      <w:r>
        <w:t xml:space="preserve"> </w:t>
      </w:r>
      <w:r>
        <w:t xml:space="preserve">We provide a fully functional Hyperledger Fabric prototype (10 smart contract namespaces, ~50 exported functions), iteratively developed over seven design cycles with quantitative performance evidence from Caliper benchmarks. The prototype demonstrates that permissioned DLT can sustain the throughput requirements of national GO markets while preserving privacy through private data collections and hash commitments.</w:t>
      </w:r>
    </w:p>
    <w:p>
      <w:pPr>
        <w:numPr>
          <w:ilvl w:val="0"/>
          <w:numId w:val="1001"/>
        </w:numPr>
      </w:pPr>
      <w:r>
        <w:rPr>
          <w:b/>
          <w:bCs/>
        </w:rPr>
        <w:t xml:space="preserve">Methodological contribution:</w:t>
      </w:r>
      <w:r>
        <w:t xml:space="preserve"> </w:t>
      </w:r>
      <w:r>
        <w:t xml:space="preserve">We demonstrate how iterative DSR cycles can be structured around architectural decision records (ADRs), with each cycle addressing specific gaps identified through systematic architecture critiques and performance benchmarking. The seven-cycle process—spanning conceptual design and six prototyping iterations—provides a template for rigorous artifact development in IS research.</w:t>
      </w:r>
    </w:p>
    <w:bookmarkEnd w:id="14"/>
    <w:bookmarkStart w:id="15" w:name="paper-structure"/>
    <w:p>
      <w:pPr>
        <w:pStyle w:val="Heading3"/>
      </w:pPr>
      <w:r>
        <w:t xml:space="preserve">1.6 Paper Structure</w:t>
      </w:r>
    </w:p>
    <w:p>
      <w:pPr>
        <w:pStyle w:val="FirstParagraph"/>
      </w:pPr>
      <w:r>
        <w:t xml:space="preserve">The remainder of this paper is structured as follows. Section 2 provides the conceptual background on multi-carrier energy systems, GO scheme architectures, and DLT components relevant to the design problem. Section 3 describes our DSR approach, including the justification for DSR, the iterative design cycle methodology embracing seven cycles from conceptual design through production-grade implementation, and the concurrent evaluation strategy combining qualitative and quantitative methods. Section 4 presents the results: challenges identified through a multi-vocal literature review, meta-requirements derived from the problem space, four design principles formulated using the Gregor et al. (2020) anatomy schema, the conceptual architecture, and the Hyperledger Fabric v7.0 prototype. Section 5 evaluates the artifact against the design principles using Caliper performance benchmarks and systematic architecture critiques. Section 6 discusses findings in relation to existing literature, positions the contribution as a nascent design theory, and outlines practical implications for GO registry operators. Section 7 concludes with a summary, limitations, and directions for future research.</w:t>
      </w:r>
    </w:p>
    <w:p>
      <w:r>
        <w:pict>
          <v:rect style="width:0;height:1.5pt" o:hralign="center" o:hrstd="t" o:hr="t"/>
        </w:pict>
      </w:r>
    </w:p>
    <w:bookmarkEnd w:id="15"/>
    <w:bookmarkEnd w:id="16"/>
    <w:bookmarkStart w:id="20" w:name="conceptual-background"/>
    <w:p>
      <w:pPr>
        <w:pStyle w:val="Heading2"/>
      </w:pPr>
      <w:r>
        <w:t xml:space="preserve">2. Conceptual Background</w:t>
      </w:r>
    </w:p>
    <w:bookmarkStart w:id="17" w:name="X7b01f9134a3941d77f3542d820a6eb17ee21e86"/>
    <w:p>
      <w:pPr>
        <w:pStyle w:val="Heading3"/>
      </w:pPr>
      <w:r>
        <w:t xml:space="preserve">2.1 Multi-Carrier Energy Systems and GO Schemes</w:t>
      </w:r>
    </w:p>
    <w:p>
      <w:pPr>
        <w:pStyle w:val="FirstParagraph"/>
      </w:pPr>
      <w:r>
        <w:t xml:space="preserve">The complete decarbonization of the economy will chiefly rely on electrification; however, alternative energy carriers such as green hydrogen, biogas, and thermal energy will also play a significant role in sectors that are difficult to electrify directly—heavy industry, long-haul transport, and high-temperature heating (Heffron et al. 2020). The integration of multiple energy carriers through conversion technologies is recognized as essential for closing the flexibility gap of intermittent renewable energy generation (Fridgen et al. 2020). Power-to-hydrogen electrolysis provides storage flexibility by converting surplus renewable electricity into storable hydrogen, while power-to-gas methanation and combined heat and power plants offer inter-sectoral transmission flexibility across spatial and temporal boundaries (Brown et al. 2018). These sector coupling technologies create</w:t>
      </w:r>
      <w:r>
        <w:t xml:space="preserve"> </w:t>
      </w:r>
      <w:r>
        <w:rPr>
          <w:i/>
          <w:iCs/>
        </w:rPr>
        <w:t xml:space="preserve">multi-carrier energy systems</w:t>
      </w:r>
      <w:r>
        <w:t xml:space="preserve"> </w:t>
      </w:r>
      <w:r>
        <w:t xml:space="preserve">where energy flows across previously isolated domains—electricity, gas, hydrogen, and heating grids.</w:t>
      </w:r>
    </w:p>
    <w:p>
      <w:pPr>
        <w:pStyle w:val="BodyText"/>
      </w:pPr>
      <w:r>
        <w:t xml:space="preserve">The RED III directive mandates that all EU member states establish GO schemes for these alternative energy carriers by 2024, creating an unprecedented interoperability challenge for registry architectures that were designed for single-carrier electricity tracking. GOs are the principal instrument for tracking renewable energy attributes under a book-and-claim chain of custody model, where the physical energy flow is decoupled from the attribute claim (AIB 2021). A GO documents the energy source, production method, temporal and spatial characteristics, environmental attributes, and subsidy status of one MWh of energy production. The European Association of Issuing Bodies (AIB) coordinates cross-border electricity GO transfers through its centralized Hub, processing over 700 million certificates annually across 26 member countries.</w:t>
      </w:r>
    </w:p>
    <w:p>
      <w:pPr>
        <w:pStyle w:val="BodyText"/>
      </w:pPr>
      <w:r>
        <w:t xml:space="preserve">The CEN-EN 16325 standard defines GO data fields, lifecycle processes (issuance, transfer, cancellation, expiry), and cross-border exchange protocols. Its 2021 revision introduced the critical concept of</w:t>
      </w:r>
      <w:r>
        <w:t xml:space="preserve"> </w:t>
      </w:r>
      <w:r>
        <w:rPr>
          <w:i/>
          <w:iCs/>
        </w:rPr>
        <w:t xml:space="preserve">conversion issuance</w:t>
      </w:r>
      <w:r>
        <w:t xml:space="preserve">:</w:t>
      </w:r>
      <w:r>
        <w:t xml:space="preserve"> </w:t>
      </w:r>
      <w:r>
        <w:t xml:space="preserve">“the production of an Energy Carrier from one or more Inputs including at least one other Energy Carrier”</w:t>
      </w:r>
      <w:r>
        <w:t xml:space="preserve"> </w:t>
      </w:r>
      <w:r>
        <w:t xml:space="preserve">(van Stein-Callenfels et al. 2021). Conversion issuance requires that renewable attributes from input GOs are verifiably transferred to output GOs—accounting for conversion efficiency losses (e.g., 60–70% for electrolysis), emission inheritance from the input carrier, and subsidy carry-over restrictions. This process demands cross-domain data sharing between the input carrier’s GO registry and the output carrier’s GO registry, which may be operated by different national bodies with heterogeneous IT systems.</w:t>
      </w:r>
    </w:p>
    <w:p>
      <w:pPr>
        <w:pStyle w:val="BodyText"/>
      </w:pPr>
      <w:r>
        <w:t xml:space="preserve">Three stakeholder groups participate in GO schemes: issuing bodies (registry operators, typically transmission system operators or designated national authorities), producers (energy generators with registered metering devices), and consumers (energy buyers who cancel GOs to make renewable energy claims). Cross-carrier interoperability adds a fourth interaction dimension: coordination between issuing bodies of different energy carrier registries, a function currently performed by the AIB Hub for electricity GOs but not yet established for hydrogen, biogas, or thermal energy carriers.</w:t>
      </w:r>
    </w:p>
    <w:bookmarkEnd w:id="17"/>
    <w:bookmarkStart w:id="18" w:name="X6693b2ff305ca5d26d77e5afb7a13a33bb10988"/>
    <w:p>
      <w:pPr>
        <w:pStyle w:val="Heading3"/>
      </w:pPr>
      <w:r>
        <w:t xml:space="preserve">2.2 Distributed Ledger Technology for Energy Certificate Systems</w:t>
      </w:r>
    </w:p>
    <w:p>
      <w:pPr>
        <w:pStyle w:val="FirstParagraph"/>
      </w:pPr>
      <w:r>
        <w:t xml:space="preserve">DLT provides a timestamped, append-only shared database maintained by multiple nodes without requiring a trusted central operator (Androulaki et al. 2018). For GO schemes, DLT offers several architecturally relevant properties: tamper-evident history through cryptographic linking of blocks provides an immutable audit trail; multi-party consensus without a single platform operator reduces dependence on monopolistic intermediaries; programmable business logic via smart contracts enables automated GO lifecycle management; and selective data sharing through private data collections in permissioned networks addresses privacy requirements without sacrificing verifiability.</w:t>
      </w:r>
    </w:p>
    <w:p>
      <w:pPr>
        <w:pStyle w:val="BodyText"/>
      </w:pPr>
      <w:r>
        <w:t xml:space="preserve">The blockchain suitability literature provides structured decision frameworks for evaluating DLT applicability (Gramlich et al. 2023; Wüst and Gervais 2018). Applied to GO schemes, the decision criteria are met: persistent state storage is required (GO lifecycle records), multiple mutually distrustful writers exist (issuing bodies across jurisdictions), a trusted third party cannot serve all participants equally across 27 EU member states (regulatory sovereignty constraints), all participants are known (permissioned network of national authorities), and public verifiability of cancellation statements is desired (consumer protection and greenwashing prevention).</w:t>
      </w:r>
    </w:p>
    <w:p>
      <w:pPr>
        <w:pStyle w:val="BodyText"/>
      </w:pPr>
      <w:r>
        <w:t xml:space="preserve">Hyperledger Fabric is a permissioned blockchain framework designed for enterprise consortium networks, distinguishing it from public blockchain platforms through its identity-aware architecture. Key architectural features relevant to GO schemes include: (a) an execute-order-validate (EOV) transaction flow that enables deterministic smart contract execution with concurrent endorsement by multiple organizations; (b) organizations defined by Membership Service Providers (MSPs) with X.509 certificate-based identity management, enabling fine-grained access control; (c) private data collections (PDCs) allowing confidential data sharing between designated subsets of organizations through gossip-based peer-to-peer dissemination; (d) modular consensus via pluggable ordering services, with Raft providing crash fault tolerance for production deployments; and (e) a channel architecture providing logical network isolation for data partitioning across jurisdictions. The CouchDB state database enables JSON-based rich queries against the world state, supporting the complex query patterns required for GO registry operations such as filtering by energy source, production period, and lifecycle status.</w:t>
      </w:r>
    </w:p>
    <w:p>
      <w:pPr>
        <w:pStyle w:val="BodyText"/>
      </w:pPr>
      <w:r>
        <w:t xml:space="preserve">Prior DLT-based GO prototypes have demonstrated the general feasibility of blockchain for energy certification (Chuang et al. 2019; Ølnes et al. 2022), but have focused exclusively on single-carrier electricity certificates. The multi-carrier conversion issuance use case introduces additional requirements—cross-domain data sharing, conversion efficiency verification, and multi-registry coordination—that have not been addressed in existing prototype implementations.</w:t>
      </w:r>
    </w:p>
    <w:bookmarkEnd w:id="18"/>
    <w:bookmarkStart w:id="19" w:name="key-constructs-and-relationships"/>
    <w:p>
      <w:pPr>
        <w:pStyle w:val="Heading3"/>
      </w:pPr>
      <w:r>
        <w:t xml:space="preserve">2.3 Key Constructs and Relationships</w:t>
      </w:r>
    </w:p>
    <w:p>
      <w:pPr>
        <w:pStyle w:val="FirstParagraph"/>
      </w:pPr>
      <w:r>
        <w:t xml:space="preserve">The conceptual model connecting the problem domain to the solution artifact is structured around four key constructs and their relationships. First,</w:t>
      </w:r>
      <w:r>
        <w:t xml:space="preserve"> </w:t>
      </w:r>
      <w:r>
        <w:rPr>
          <w:b/>
          <w:bCs/>
        </w:rPr>
        <w:t xml:space="preserve">multi-carrier energy systems</w:t>
      </w:r>
      <w:r>
        <w:t xml:space="preserve"> </w:t>
      </w:r>
      <w:r>
        <w:t xml:space="preserve">generate the need for cross-domain data sharing through energy carrier conversion processes. The physical act of converting electricity to hydrogen (or gas, or heat) creates a dependency between the input carrier’s GO registry and the output carrier’s GO registry that cannot be satisfied by isolated centralized systems. Second,</w:t>
      </w:r>
      <w:r>
        <w:t xml:space="preserve"> </w:t>
      </w:r>
      <w:r>
        <w:rPr>
          <w:b/>
          <w:bCs/>
        </w:rPr>
        <w:t xml:space="preserve">GO scheme architectures</w:t>
      </w:r>
      <w:r>
        <w:t xml:space="preserve"> </w:t>
      </w:r>
      <w:r>
        <w:t xml:space="preserve">must satisfy design requirements derived from the conversion issuance use case. These requirements span multiple quality dimensions—scalability for high-frequency IoT metering data, verifiability for regulatory compliance, privacy for commercial data protection, and interoperability for cross-carrier coordination—creating a multi-objective optimization problem. Third,</w:t>
      </w:r>
      <w:r>
        <w:t xml:space="preserve"> </w:t>
      </w:r>
      <w:r>
        <w:rPr>
          <w:b/>
          <w:bCs/>
        </w:rPr>
        <w:t xml:space="preserve">design principles</w:t>
      </w:r>
      <w:r>
        <w:t xml:space="preserve"> </w:t>
      </w:r>
      <w:r>
        <w:t xml:space="preserve">prescribe how DLT-based architectures should be structured to meet these requirements. Formulated at a level of abstraction above any specific platform, DPs provide reusable design guidance that is transferable across implementations (Iivari et al. 2021). Fourth,</w:t>
      </w:r>
      <w:r>
        <w:t xml:space="preserve"> </w:t>
      </w:r>
      <w:r>
        <w:rPr>
          <w:b/>
          <w:bCs/>
        </w:rPr>
        <w:t xml:space="preserve">Hyperledger Fabric artifacts</w:t>
      </w:r>
      <w:r>
        <w:t xml:space="preserve"> </w:t>
      </w:r>
      <w:r>
        <w:t xml:space="preserve">instantiate the design principles in a concrete, evaluable prototype, providing empirical evidence for the DPs through measurable performance and architectural characteristics.</w:t>
      </w:r>
    </w:p>
    <w:p>
      <w:pPr>
        <w:pStyle w:val="BodyText"/>
      </w:pPr>
      <w:r>
        <w:t xml:space="preserve">The mapping between problem space and solution space follows the DSR framework of Hevner et al. (2004): challenges identified through literature review map to meta-requirements, which are addressed by design principles, which are instantiated in the prototype artifact. The evaluation cycle assesses whether the artifact satisfies the meta-requirements, feeding improvements back into subsequent design iterations. This iterative build-evaluate cycle (Sonnenberg and vom Brocke 2012) was executed seven times over two phases: three cycles during a master thesis (conceptual design, initial prototype, refined prototype) and four subsequent cycles extending the artifact to production-grade maturity (v4.0–v7.0).</w:t>
      </w:r>
    </w:p>
    <w:p>
      <w:pPr>
        <w:pStyle w:val="BodyText"/>
      </w:pPr>
      <w:r>
        <w:t xml:space="preserve">[FIGURE 1: Conceptual Model — mapping from Problem Space (challenges C1–C8) → Meta-Requirements (MR1–MR4) → Design Principles (DP1–DP4) → Artifact (HLF Prototype v7.0), with iterative evaluation feedback loops between each layer]</w:t>
      </w:r>
    </w:p>
    <w:p>
      <w:r>
        <w:pict>
          <v:rect style="width:0;height:1.5pt" o:hralign="center" o:hrstd="t" o:hr="t"/>
        </w:pict>
      </w:r>
    </w:p>
    <w:bookmarkEnd w:id="19"/>
    <w:bookmarkEnd w:id="20"/>
    <w:bookmarkStart w:id="23" w:name="research-approach"/>
    <w:p>
      <w:pPr>
        <w:pStyle w:val="Heading2"/>
      </w:pPr>
      <w:r>
        <w:t xml:space="preserve">3. Research Approach</w:t>
      </w:r>
    </w:p>
    <w:bookmarkStart w:id="21" w:name="design-science-research-approach"/>
    <w:p>
      <w:pPr>
        <w:pStyle w:val="Heading3"/>
      </w:pPr>
      <w:r>
        <w:t xml:space="preserve">3.1 Design Science Research Approach</w:t>
      </w:r>
    </w:p>
    <w:p>
      <w:pPr>
        <w:pStyle w:val="FirstParagraph"/>
      </w:pPr>
      <w:r>
        <w:t xml:space="preserve">We follow the DSR methodology of Peffers et al. (2007), structured within the conceptual framework of Hevner et al. (2004) and its three-cycle view (Hevner 2007). The research addresses a wicked design problem—how to architect interoperable GO schemes—where no algorithmic solution exists and the problem space is defined by multiple conflicting requirements (scalability vs. privacy, verifiability vs. confidentiality). DSR is the appropriate methodological choice because the research objective is an</w:t>
      </w:r>
      <w:r>
        <w:t xml:space="preserve"> </w:t>
      </w:r>
      <w:r>
        <w:rPr>
          <w:i/>
          <w:iCs/>
        </w:rPr>
        <w:t xml:space="preserve">IT artifact</w:t>
      </w:r>
      <w:r>
        <w:t xml:space="preserve"> </w:t>
      </w:r>
      <w:r>
        <w:t xml:space="preserve">(a GO scheme architecture and its HLF instantiation) rather than a behavioral theory, and the primary contribution is</w:t>
      </w:r>
      <w:r>
        <w:t xml:space="preserve"> </w:t>
      </w:r>
      <w:r>
        <w:rPr>
          <w:i/>
          <w:iCs/>
        </w:rPr>
        <w:t xml:space="preserve">prescriptive</w:t>
      </w:r>
      <w:r>
        <w:t xml:space="preserve"> </w:t>
      </w:r>
      <w:r>
        <w:t xml:space="preserve">knowledge (design principles) rather than</w:t>
      </w:r>
      <w:r>
        <w:t xml:space="preserve"> </w:t>
      </w:r>
      <w:r>
        <w:rPr>
          <w:i/>
          <w:iCs/>
        </w:rPr>
        <w:t xml:space="preserve">descriptive</w:t>
      </w:r>
      <w:r>
        <w:t xml:space="preserve"> </w:t>
      </w:r>
      <w:r>
        <w:t xml:space="preserve">or</w:t>
      </w:r>
      <w:r>
        <w:t xml:space="preserve"> </w:t>
      </w:r>
      <w:r>
        <w:rPr>
          <w:i/>
          <w:iCs/>
        </w:rPr>
        <w:t xml:space="preserve">explanatory</w:t>
      </w:r>
      <w:r>
        <w:t xml:space="preserve"> </w:t>
      </w:r>
      <w:r>
        <w:t xml:space="preserve">knowledge.</w:t>
      </w:r>
    </w:p>
    <w:p>
      <w:pPr>
        <w:pStyle w:val="BodyText"/>
      </w:pPr>
      <w:r>
        <w:t xml:space="preserve">The DSR framework relates the design process to three cycles: the</w:t>
      </w:r>
      <w:r>
        <w:t xml:space="preserve"> </w:t>
      </w:r>
      <w:r>
        <w:rPr>
          <w:i/>
          <w:iCs/>
        </w:rPr>
        <w:t xml:space="preserve">relevance cycle</w:t>
      </w:r>
      <w:r>
        <w:t xml:space="preserve"> </w:t>
      </w:r>
      <w:r>
        <w:t xml:space="preserve">connecting the research to the environment (GO market stakeholders, regulatory requirements such as RED III and CEN-EN 16325, existing registry architectures operated by national issuing bodies), the</w:t>
      </w:r>
      <w:r>
        <w:t xml:space="preserve"> </w:t>
      </w:r>
      <w:r>
        <w:rPr>
          <w:i/>
          <w:iCs/>
        </w:rPr>
        <w:t xml:space="preserve">rigor cycle</w:t>
      </w:r>
      <w:r>
        <w:t xml:space="preserve"> </w:t>
      </w:r>
      <w:r>
        <w:t xml:space="preserve">grounding the research in the knowledge base (DLT theory, cryptographic primitives, permissioned blockchain architectural patterns, energy informatics literature), and the</w:t>
      </w:r>
      <w:r>
        <w:t xml:space="preserve"> </w:t>
      </w:r>
      <w:r>
        <w:rPr>
          <w:i/>
          <w:iCs/>
        </w:rPr>
        <w:t xml:space="preserve">design cycle</w:t>
      </w:r>
      <w:r>
        <w:t xml:space="preserve"> </w:t>
      </w:r>
      <w:r>
        <w:t xml:space="preserve">iterating between artifact construction and evaluation. Following Hevner et al.’s (2004) seven guidelines, the research: (1) produces a viable artifact (the HLF prototype), (2) addresses a relevant problem (cross-carrier GO interoperability mandated by RED III), (3) rigorously evaluates the artifact (Caliper benchmarks, architecture critiques), (4) provides clear contributions (four design principles formulated as nascent design theory), (5) applies rigorous methods (multi-vocal literature review, quantitative benchmarking), (6) searches the design space iteratively (seven design cycles with 29 documented ADRs), and (7) communicates results to both technical and managerial audiences.</w:t>
      </w:r>
    </w:p>
    <w:p>
      <w:pPr>
        <w:pStyle w:val="BodyText"/>
      </w:pPr>
      <w:r>
        <w:t xml:space="preserve">Design principles are formulated using the anatomy schema of Gregor et al. (2020), which specifies four components: the</w:t>
      </w:r>
      <w:r>
        <w:t xml:space="preserve"> </w:t>
      </w:r>
      <w:r>
        <w:rPr>
          <w:i/>
          <w:iCs/>
        </w:rPr>
        <w:t xml:space="preserve">aim</w:t>
      </w:r>
      <w:r>
        <w:t xml:space="preserve"> </w:t>
      </w:r>
      <w:r>
        <w:t xml:space="preserve">(what the DP seeks to achieve), the</w:t>
      </w:r>
      <w:r>
        <w:t xml:space="preserve"> </w:t>
      </w:r>
      <w:r>
        <w:rPr>
          <w:i/>
          <w:iCs/>
        </w:rPr>
        <w:t xml:space="preserve">context</w:t>
      </w:r>
      <w:r>
        <w:t xml:space="preserve"> </w:t>
      </w:r>
      <w:r>
        <w:t xml:space="preserve">(under which conditions it applies), the</w:t>
      </w:r>
      <w:r>
        <w:t xml:space="preserve"> </w:t>
      </w:r>
      <w:r>
        <w:rPr>
          <w:i/>
          <w:iCs/>
        </w:rPr>
        <w:t xml:space="preserve">mechanism</w:t>
      </w:r>
      <w:r>
        <w:t xml:space="preserve"> </w:t>
      </w:r>
      <w:r>
        <w:t xml:space="preserve">(how it achieves the aim), and the</w:t>
      </w:r>
      <w:r>
        <w:t xml:space="preserve"> </w:t>
      </w:r>
      <w:r>
        <w:rPr>
          <w:i/>
          <w:iCs/>
        </w:rPr>
        <w:t xml:space="preserve">rationale</w:t>
      </w:r>
      <w:r>
        <w:t xml:space="preserve"> </w:t>
      </w:r>
      <w:r>
        <w:t xml:space="preserve">(why the mechanism works in this context). This schema ensures that DPs are articulated at an appropriate level of abstraction—specific enough to provide actionable guidance, yet general enough to be reusable beyond the specific Hyperledger Fabric instantiation. Reusability is assessed against the minimum reusability criteria of Iivari et al. (2021), requiring that each DP can be applied in at least one additional context beyond the original design.</w:t>
      </w:r>
    </w:p>
    <w:p>
      <w:pPr>
        <w:pStyle w:val="BodyText"/>
      </w:pPr>
      <w:r>
        <w:t xml:space="preserve">[FIGURE 2: Research Process — 7 design cycles from Problem Identification (multi-vocal literature review) → Conceptual Design → Prototypes v1–v3 (master thesis) → v4–v5 (hardening + interoperability) → v6–v7 (production hardening + market integration) → Concurrent Evaluation (Caliper + architecture critique)]</w:t>
      </w:r>
    </w:p>
    <w:bookmarkEnd w:id="21"/>
    <w:bookmarkStart w:id="22" w:name="iterative-software-design"/>
    <w:p>
      <w:pPr>
        <w:pStyle w:val="Heading3"/>
      </w:pPr>
      <w:r>
        <w:t xml:space="preserve">3.2 Iterative Software Design</w:t>
      </w:r>
    </w:p>
    <w:p>
      <w:pPr>
        <w:pStyle w:val="FirstParagraph"/>
      </w:pPr>
      <w:r>
        <w:t xml:space="preserve">The artifact was developed over seven design cycles spanning two distinct phases. The initial three cycles (v1.0–v3.0) were conducted as part of a master thesis (Albrecht 2024), grounding the design in domain knowledge through a systematic literature review. Cycle 1 comprised conceptual architecture design: a multi-vocal literature review (32 academic and 12 grey literature sources across four databases) identified eight challenges, which were mapped to four design requirements. The blockchain suitability decision framework of Gramlich et al. (2023) confirmed DLT applicability. Cycle 2 comprised prototypical implementation: basic GO lifecycle functions (issuance, transfer, conversion, cancellation) in Go chaincode deployed to a four-organization Hyperledger Fabric 2.5 network on a GCP virtual machine. Cycle 3 refined the prototype with additional features (cancellation statements, consumption declarations, expiry checking) and updated the conceptual architecture based on iterative refinement.</w:t>
      </w:r>
    </w:p>
    <w:p>
      <w:pPr>
        <w:pStyle w:val="BodyText"/>
      </w:pPr>
      <w:r>
        <w:t xml:space="preserve">The subsequent four cycles (v4.0–v7.0) extended the prototype into a production-grade platform, each structured around</w:t>
      </w:r>
      <w:r>
        <w:t xml:space="preserve"> </w:t>
      </w:r>
      <w:r>
        <w:rPr>
          <w:i/>
          <w:iCs/>
        </w:rPr>
        <w:t xml:space="preserve">architectural decision records</w:t>
      </w:r>
      <w:r>
        <w:t xml:space="preserve"> </w:t>
      </w:r>
      <w:r>
        <w:t xml:space="preserve">(ADRs) that document the problem statement, considered alternatives, chosen approach, and consequences—providing an auditable decision trail for design choices. v4.0 (ADRs 006–010) addressed scalability and privacy: cursor-based pagination replaced full-scan list queries, tombstone patterns replaced hard deletes, timestamp drift guards prevented backdated issuance, hash commitment schemes enabled selective quantity verification, and CouchDB retention policies bounded private data storage growth. v5.0 (ADRs 012–016) addressed interoperability: CEN-EN 16325 data model alignment standardized GO fields, API versioning enabled client compatibility checks, dynamic organization onboarding supported consortium growth, biogas carrier support demonstrated multi-carrier extensibility, and CQRS event-driven architecture decoupled read and write paths. v6.0 (ADRs 017–022) hardened the system with cryptographically secure 128-bit commitment salts replacing transaction-ID-derived salts, comprehensive CEN-EN 16325 field validation at write time, state-based per-asset endorsement policies binding modification rights to asset owners, and a formal deprecation lifecycle for legacy API endpoints. v7.0 (ADRs 024, 027, 029) integrated market features: a cross-registry bridge protocol with an explicit export/confirm/import state machine, ECDSA P-256 IoT device attestation for hardware-rooted metering trust, and an external data oracle ingesting ENTSO-E grid generation records for automated production plausibility checks.</w:t>
      </w:r>
    </w:p>
    <w:p>
      <w:pPr>
        <w:pStyle w:val="BodyText"/>
      </w:pPr>
      <w:r>
        <w:t xml:space="preserve">Each cycle concluded with concurrent evaluation (Sonnenberg and vom Brocke 2012): quantitative assessment via Hyperledger Caliper v0.6.0 performance benchmarks (10 workers, fixed TPS send rates, measurement of throughput, latency, and failure rates) on a production-grade Hetzner VM (16 vCPU, 32 GB RAM, Ubuntu 24.04), and qualitative assessment via systematic architecture critiques evaluating scalability, privacy, verifiability, and interoperability through</w:t>
      </w:r>
      <w:r>
        <w:t xml:space="preserve"> </w:t>
      </w:r>
      <w:r>
        <w:t xml:space="preserve">“arguments in favour”</w:t>
      </w:r>
      <w:r>
        <w:t xml:space="preserve"> </w:t>
      </w:r>
      <w:r>
        <w:t xml:space="preserve">and</w:t>
      </w:r>
      <w:r>
        <w:t xml:space="preserve"> </w:t>
      </w:r>
      <w:r>
        <w:t xml:space="preserve">“arguments against”</w:t>
      </w:r>
      <w:r>
        <w:t xml:space="preserve"> </w:t>
      </w:r>
      <w:r>
        <w:t xml:space="preserve">analysis. Gap identification from each critique directly informed the ADRs for the subsequent cycle, creating a traceable chain from identified weakness to implemented solution.</w:t>
      </w:r>
    </w:p>
    <w:p>
      <w:r>
        <w:pict>
          <v:rect style="width:0;height:1.5pt" o:hralign="center" o:hrstd="t" o:hr="t"/>
        </w:pict>
      </w:r>
    </w:p>
    <w:bookmarkEnd w:id="22"/>
    <w:bookmarkEnd w:id="23"/>
    <w:bookmarkStart w:id="29" w:name="results"/>
    <w:p>
      <w:pPr>
        <w:pStyle w:val="Heading2"/>
      </w:pPr>
      <w:r>
        <w:t xml:space="preserve">4. Results</w:t>
      </w:r>
    </w:p>
    <w:bookmarkStart w:id="24" w:name="challenges-from-the-problem-space"/>
    <w:p>
      <w:pPr>
        <w:pStyle w:val="Heading3"/>
      </w:pPr>
      <w:r>
        <w:t xml:space="preserve">4.1 Challenges from the Problem Space</w:t>
      </w:r>
    </w:p>
    <w:p>
      <w:pPr>
        <w:pStyle w:val="FirstParagraph"/>
      </w:pPr>
      <w:r>
        <w:t xml:space="preserve">A multi-vocal literature review—analyzing 32 academic sources and 12 grey literature sources across four databases (IEEE Xplore, ACM Digital Library, AIS eLibrary, Google Scholar)—identified eight challenges (C1–C8) preventing cross-carrier interoperability of GO schemes. The challenges were coded following the Gioia et al. (2013) methodology, progressing from first-order informant terms through second-order theoretical themes to aggregate dimensions corresponding to the four meta-requirements.</w:t>
      </w:r>
    </w:p>
    <w:tbl>
      <w:tblPr>
        <w:tblStyle w:val="Table"/>
        <w:tblW w:type="pct" w:w="5000"/>
        <w:tblLayout w:type="fixed"/>
        <w:tblLook w:firstRow="1" w:lastRow="0" w:firstColumn="0" w:lastColumn="0" w:noHBand="0" w:noVBand="0" w:val="0020"/>
      </w:tblPr>
      <w:tblGrid>
        <w:gridCol w:w="856"/>
        <w:gridCol w:w="2354"/>
        <w:gridCol w:w="2782"/>
        <w:gridCol w:w="1926"/>
      </w:tblGrid>
      <w:tr>
        <w:trPr>
          <w:tblHeader w:val="on"/>
        </w:trPr>
        <w:tc>
          <w:tcPr/>
          <w:p>
            <w:pPr>
              <w:pStyle w:val="Compact"/>
            </w:pPr>
            <w:r>
              <w:t xml:space="preserve">ID</w:t>
            </w:r>
          </w:p>
        </w:tc>
        <w:tc>
          <w:tcPr/>
          <w:p>
            <w:pPr>
              <w:pStyle w:val="Compact"/>
            </w:pPr>
            <w:r>
              <w:t xml:space="preserve">Challenge</w:t>
            </w:r>
          </w:p>
        </w:tc>
        <w:tc>
          <w:tcPr/>
          <w:p>
            <w:pPr>
              <w:pStyle w:val="Compact"/>
            </w:pPr>
            <w:r>
              <w:t xml:space="preserve">Description</w:t>
            </w:r>
          </w:p>
        </w:tc>
        <w:tc>
          <w:tcPr/>
          <w:p>
            <w:pPr>
              <w:pStyle w:val="Compact"/>
            </w:pPr>
            <w:r>
              <w:t xml:space="preserve">Sources</w:t>
            </w:r>
          </w:p>
        </w:tc>
      </w:tr>
      <w:tr>
        <w:tc>
          <w:tcPr/>
          <w:p>
            <w:pPr>
              <w:pStyle w:val="Compact"/>
            </w:pPr>
            <w:r>
              <w:t xml:space="preserve">C1</w:t>
            </w:r>
          </w:p>
        </w:tc>
        <w:tc>
          <w:tcPr/>
          <w:p>
            <w:pPr>
              <w:pStyle w:val="Compact"/>
            </w:pPr>
            <w:r>
              <w:t xml:space="preserve">High transaction costs</w:t>
            </w:r>
          </w:p>
        </w:tc>
        <w:tc>
          <w:tcPr/>
          <w:p>
            <w:pPr>
              <w:pStyle w:val="Compact"/>
            </w:pPr>
            <w:r>
              <w:t xml:space="preserve">Monopolistic platform operators charge fees that inhibit high-frequency transactions</w:t>
            </w:r>
          </w:p>
        </w:tc>
        <w:tc>
          <w:tcPr/>
          <w:p>
            <w:pPr>
              <w:pStyle w:val="Compact"/>
            </w:pPr>
            <w:r>
              <w:t xml:space="preserve">Bogensperger and Zeiselmair 2020; Hulshof et al. 2019</w:t>
            </w:r>
          </w:p>
        </w:tc>
      </w:tr>
      <w:tr>
        <w:tc>
          <w:tcPr/>
          <w:p>
            <w:pPr>
              <w:pStyle w:val="Compact"/>
            </w:pPr>
            <w:r>
              <w:t xml:space="preserve">C2</w:t>
            </w:r>
          </w:p>
        </w:tc>
        <w:tc>
          <w:tcPr/>
          <w:p>
            <w:pPr>
              <w:pStyle w:val="Compact"/>
            </w:pPr>
            <w:r>
              <w:t xml:space="preserve">Manual auditing cycles</w:t>
            </w:r>
          </w:p>
        </w:tc>
        <w:tc>
          <w:tcPr/>
          <w:p>
            <w:pPr>
              <w:pStyle w:val="Compact"/>
            </w:pPr>
            <w:r>
              <w:t xml:space="preserve">GO approval processes require manual verification, creating multi-week delays</w:t>
            </w:r>
          </w:p>
        </w:tc>
        <w:tc>
          <w:tcPr/>
          <w:p>
            <w:pPr>
              <w:pStyle w:val="Compact"/>
            </w:pPr>
            <w:r>
              <w:t xml:space="preserve">Nofuentes et al. 2022; Zhang et al. 2023</w:t>
            </w:r>
          </w:p>
        </w:tc>
      </w:tr>
      <w:tr>
        <w:tc>
          <w:tcPr/>
          <w:p>
            <w:pPr>
              <w:pStyle w:val="Compact"/>
            </w:pPr>
            <w:r>
              <w:t xml:space="preserve">C3</w:t>
            </w:r>
          </w:p>
        </w:tc>
        <w:tc>
          <w:tcPr/>
          <w:p>
            <w:pPr>
              <w:pStyle w:val="Compact"/>
            </w:pPr>
            <w:r>
              <w:t xml:space="preserve">Unreliable data sources</w:t>
            </w:r>
          </w:p>
        </w:tc>
        <w:tc>
          <w:tcPr/>
          <w:p>
            <w:pPr>
              <w:pStyle w:val="Compact"/>
            </w:pPr>
            <w:r>
              <w:t xml:space="preserve">Alternative carrier schemes lack standardized metering and data quality assurance</w:t>
            </w:r>
          </w:p>
        </w:tc>
        <w:tc>
          <w:tcPr/>
          <w:p>
            <w:pPr>
              <w:pStyle w:val="Compact"/>
            </w:pPr>
            <w:r>
              <w:t xml:space="preserve">Sailer et al. 2021</w:t>
            </w:r>
          </w:p>
        </w:tc>
      </w:tr>
      <w:tr>
        <w:tc>
          <w:tcPr/>
          <w:p>
            <w:pPr>
              <w:pStyle w:val="Compact"/>
            </w:pPr>
            <w:r>
              <w:t xml:space="preserve">C4</w:t>
            </w:r>
          </w:p>
        </w:tc>
        <w:tc>
          <w:tcPr/>
          <w:p>
            <w:pPr>
              <w:pStyle w:val="Compact"/>
            </w:pPr>
            <w:r>
              <w:t xml:space="preserve">Transparency deficit</w:t>
            </w:r>
          </w:p>
        </w:tc>
        <w:tc>
          <w:tcPr/>
          <w:p>
            <w:pPr>
              <w:pStyle w:val="Compact"/>
            </w:pPr>
            <w:r>
              <w:t xml:space="preserve">Opaque registry operations enable potential double counting within a single carrier</w:t>
            </w:r>
          </w:p>
        </w:tc>
        <w:tc>
          <w:tcPr/>
          <w:p>
            <w:pPr>
              <w:pStyle w:val="Compact"/>
            </w:pPr>
            <w:r>
              <w:t xml:space="preserve">Li et al. 2022; Ølnes et al. 2022</w:t>
            </w:r>
          </w:p>
        </w:tc>
      </w:tr>
      <w:tr>
        <w:tc>
          <w:tcPr/>
          <w:p>
            <w:pPr>
              <w:pStyle w:val="Compact"/>
            </w:pPr>
            <w:r>
              <w:t xml:space="preserve">C5</w:t>
            </w:r>
          </w:p>
        </w:tc>
        <w:tc>
          <w:tcPr/>
          <w:p>
            <w:pPr>
              <w:pStyle w:val="Compact"/>
            </w:pPr>
            <w:r>
              <w:t xml:space="preserve">Cross-carrier double counting</w:t>
            </w:r>
          </w:p>
        </w:tc>
        <w:tc>
          <w:tcPr/>
          <w:p>
            <w:pPr>
              <w:pStyle w:val="Compact"/>
            </w:pPr>
            <w:r>
              <w:t xml:space="preserve">Attribute duplication during conversion processes when registries do not coordinate</w:t>
            </w:r>
          </w:p>
        </w:tc>
        <w:tc>
          <w:tcPr/>
          <w:p>
            <w:pPr>
              <w:pStyle w:val="Compact"/>
            </w:pPr>
            <w:r>
              <w:t xml:space="preserve">Sailer et al. 2021; Verwimp et al. 2022</w:t>
            </w:r>
          </w:p>
        </w:tc>
      </w:tr>
      <w:tr>
        <w:tc>
          <w:tcPr/>
          <w:p>
            <w:pPr>
              <w:pStyle w:val="Compact"/>
            </w:pPr>
            <w:r>
              <w:t xml:space="preserve">C6</w:t>
            </w:r>
          </w:p>
        </w:tc>
        <w:tc>
          <w:tcPr/>
          <w:p>
            <w:pPr>
              <w:pStyle w:val="Compact"/>
            </w:pPr>
            <w:r>
              <w:t xml:space="preserve">Privacy invasion</w:t>
            </w:r>
          </w:p>
        </w:tc>
        <w:tc>
          <w:tcPr/>
          <w:p>
            <w:pPr>
              <w:pStyle w:val="Compact"/>
            </w:pPr>
            <w:r>
              <w:t xml:space="preserve">Centralized databases expose commercially sensitive production data to all participants</w:t>
            </w:r>
          </w:p>
        </w:tc>
        <w:tc>
          <w:tcPr/>
          <w:p>
            <w:pPr>
              <w:pStyle w:val="Compact"/>
            </w:pPr>
            <w:r>
              <w:t xml:space="preserve">Albrecht et al. 2018</w:t>
            </w:r>
          </w:p>
        </w:tc>
      </w:tr>
      <w:tr>
        <w:tc>
          <w:tcPr/>
          <w:p>
            <w:pPr>
              <w:pStyle w:val="Compact"/>
            </w:pPr>
            <w:r>
              <w:t xml:space="preserve">C7</w:t>
            </w:r>
          </w:p>
        </w:tc>
        <w:tc>
          <w:tcPr/>
          <w:p>
            <w:pPr>
              <w:pStyle w:val="Compact"/>
            </w:pPr>
            <w:r>
              <w:t xml:space="preserve">Single point of failure</w:t>
            </w:r>
          </w:p>
        </w:tc>
        <w:tc>
          <w:tcPr/>
          <w:p>
            <w:pPr>
              <w:pStyle w:val="Compact"/>
            </w:pPr>
            <w:r>
              <w:t xml:space="preserve">Centralized architectures create availability and integrity risks</w:t>
            </w:r>
          </w:p>
        </w:tc>
        <w:tc>
          <w:tcPr/>
          <w:p>
            <w:pPr>
              <w:pStyle w:val="Compact"/>
            </w:pPr>
            <w:r>
              <w:t xml:space="preserve">Knirsch et al. 2018</w:t>
            </w:r>
          </w:p>
        </w:tc>
      </w:tr>
      <w:tr>
        <w:tc>
          <w:tcPr/>
          <w:p>
            <w:pPr>
              <w:pStyle w:val="Compact"/>
            </w:pPr>
            <w:r>
              <w:t xml:space="preserve">C8</w:t>
            </w:r>
          </w:p>
        </w:tc>
        <w:tc>
          <w:tcPr/>
          <w:p>
            <w:pPr>
              <w:pStyle w:val="Compact"/>
            </w:pPr>
            <w:r>
              <w:t xml:space="preserve">Low harmonization</w:t>
            </w:r>
          </w:p>
        </w:tc>
        <w:tc>
          <w:tcPr/>
          <w:p>
            <w:pPr>
              <w:pStyle w:val="Compact"/>
            </w:pPr>
            <w:r>
              <w:t xml:space="preserve">Carrier-specific registries use incompatible data models and exchange protocols</w:t>
            </w:r>
          </w:p>
        </w:tc>
        <w:tc>
          <w:tcPr/>
          <w:p>
            <w:pPr>
              <w:pStyle w:val="Compact"/>
            </w:pPr>
            <w:r>
              <w:t xml:space="preserve">Wang et al. 2019</w:t>
            </w:r>
          </w:p>
        </w:tc>
      </w:tr>
    </w:tbl>
    <w:bookmarkEnd w:id="24"/>
    <w:bookmarkStart w:id="25" w:name="meta-requirements"/>
    <w:p>
      <w:pPr>
        <w:pStyle w:val="Heading3"/>
      </w:pPr>
      <w:r>
        <w:t xml:space="preserve">4.2 Meta-Requirements</w:t>
      </w:r>
    </w:p>
    <w:p>
      <w:pPr>
        <w:pStyle w:val="FirstParagraph"/>
      </w:pPr>
      <w:r>
        <w:t xml:space="preserve">From the challenge mapping, four meta-requirements (MRs) were derived:</w:t>
      </w:r>
    </w:p>
    <w:p>
      <w:pPr>
        <w:pStyle w:val="BodyText"/>
      </w:pPr>
      <w:r>
        <w:rPr>
          <w:b/>
          <w:bCs/>
        </w:rPr>
        <w:t xml:space="preserve">MR1: Scalability</w:t>
      </w:r>
      <w:r>
        <w:t xml:space="preserve"> </w:t>
      </w:r>
      <w:r>
        <w:t xml:space="preserve">— The system must sustain the transaction throughput of national GO markets (thousands of metering devices reporting at 15-minute intervals) while minimizing transaction costs and automating approval cycles.</w:t>
      </w:r>
      <w:r>
        <w:t xml:space="preserve"> </w:t>
      </w:r>
      <w:r>
        <w:rPr>
          <w:i/>
          <w:iCs/>
        </w:rPr>
        <w:t xml:space="preserve">(Addresses C1, C2, C3)</w:t>
      </w:r>
    </w:p>
    <w:p>
      <w:pPr>
        <w:pStyle w:val="BodyText"/>
      </w:pPr>
      <w:r>
        <w:rPr>
          <w:b/>
          <w:bCs/>
        </w:rPr>
        <w:t xml:space="preserve">MR2: Verifiability</w:t>
      </w:r>
      <w:r>
        <w:t xml:space="preserve"> </w:t>
      </w:r>
      <w:r>
        <w:t xml:space="preserve">— The system must provide cryptographically verifiable provenance from physical metering devices to issued GOs, transparent lifecycle tracking visible to all participants, and resistance to double counting across energy carriers.</w:t>
      </w:r>
      <w:r>
        <w:t xml:space="preserve"> </w:t>
      </w:r>
      <w:r>
        <w:rPr>
          <w:i/>
          <w:iCs/>
        </w:rPr>
        <w:t xml:space="preserve">(Addresses C3, C4, C5)</w:t>
      </w:r>
    </w:p>
    <w:p>
      <w:pPr>
        <w:pStyle w:val="BodyText"/>
      </w:pPr>
      <w:r>
        <w:rPr>
          <w:b/>
          <w:bCs/>
        </w:rPr>
        <w:t xml:space="preserve">MR3: Privacy</w:t>
      </w:r>
      <w:r>
        <w:t xml:space="preserve"> </w:t>
      </w:r>
      <w:r>
        <w:t xml:space="preserve">— The system must protect commercially sensitive production data (quantities, emissions, production methods) from unauthorized parties while enabling selective disclosure to authorized verifiers, without compromising the verifiability of public GO attributes.</w:t>
      </w:r>
      <w:r>
        <w:t xml:space="preserve"> </w:t>
      </w:r>
      <w:r>
        <w:rPr>
          <w:i/>
          <w:iCs/>
        </w:rPr>
        <w:t xml:space="preserve">(Addresses C6, C7)</w:t>
      </w:r>
    </w:p>
    <w:p>
      <w:pPr>
        <w:pStyle w:val="BodyText"/>
      </w:pPr>
      <w:r>
        <w:rPr>
          <w:b/>
          <w:bCs/>
        </w:rPr>
        <w:t xml:space="preserve">MR4: Interoperability</w:t>
      </w:r>
      <w:r>
        <w:t xml:space="preserve"> </w:t>
      </w:r>
      <w:r>
        <w:t xml:space="preserve">— The system must support data sharing and asset transfer between GO schemes of different energy carriers, conform to the CEN-EN 16325 standard for semantic compatibility, and enable cross-border exchange through standardized protocols.</w:t>
      </w:r>
      <w:r>
        <w:t xml:space="preserve"> </w:t>
      </w:r>
      <w:r>
        <w:rPr>
          <w:i/>
          <w:iCs/>
        </w:rPr>
        <w:t xml:space="preserve">(Addresses C5, C8)</w:t>
      </w:r>
    </w:p>
    <w:bookmarkEnd w:id="25"/>
    <w:bookmarkStart w:id="26" w:name="design-principles"/>
    <w:p>
      <w:pPr>
        <w:pStyle w:val="Heading3"/>
      </w:pPr>
      <w:r>
        <w:t xml:space="preserve">4.3 Design Principles</w:t>
      </w:r>
    </w:p>
    <w:p>
      <w:pPr>
        <w:pStyle w:val="FirstParagraph"/>
      </w:pPr>
      <w:r>
        <w:t xml:space="preserve">We derive four design principles using the Gregor et al. (2020) anatomy schema. Each DP addresses one meta-requirement and is formulated with explicit aim, context, mechanism, and rationale components. Table 3 presents the DPs in structured form, followed by narrative elaboration of each principle’s mechanism and v7.0 instantiation evidence.</w:t>
      </w:r>
    </w:p>
    <w:p>
      <w:pPr>
        <w:pStyle w:val="BodyText"/>
      </w:pPr>
      <w:r>
        <w:rPr>
          <w:b/>
          <w:bCs/>
        </w:rPr>
        <w:t xml:space="preserve">[TABLE 3: Design Principles]</w:t>
      </w:r>
    </w:p>
    <w:tbl>
      <w:tblPr>
        <w:tblStyle w:val="Table"/>
        <w:tblW w:type="pct" w:w="5000"/>
        <w:tblLayout w:type="fixed"/>
        <w:tblLook w:firstRow="1" w:lastRow="0" w:firstColumn="0" w:lastColumn="0" w:noHBand="0" w:noVBand="0" w:val="0020"/>
      </w:tblPr>
      <w:tblGrid>
        <w:gridCol w:w="519"/>
        <w:gridCol w:w="649"/>
        <w:gridCol w:w="1168"/>
        <w:gridCol w:w="1428"/>
        <w:gridCol w:w="1428"/>
        <w:gridCol w:w="2726"/>
      </w:tblGrid>
      <w:tr>
        <w:trPr>
          <w:tblHeader w:val="on"/>
        </w:trPr>
        <w:tc>
          <w:tcPr/>
          <w:p>
            <w:pPr>
              <w:pStyle w:val="Compact"/>
            </w:pPr>
            <w:r>
              <w:t xml:space="preserve">DP</w:t>
            </w:r>
          </w:p>
        </w:tc>
        <w:tc>
          <w:tcPr/>
          <w:p>
            <w:pPr>
              <w:pStyle w:val="Compact"/>
            </w:pPr>
            <w:r>
              <w:t xml:space="preserve">Aim</w:t>
            </w:r>
          </w:p>
        </w:tc>
        <w:tc>
          <w:tcPr/>
          <w:p>
            <w:pPr>
              <w:pStyle w:val="Compact"/>
            </w:pPr>
            <w:r>
              <w:t xml:space="preserve">Context</w:t>
            </w:r>
          </w:p>
        </w:tc>
        <w:tc>
          <w:tcPr/>
          <w:p>
            <w:pPr>
              <w:pStyle w:val="Compact"/>
            </w:pPr>
            <w:r>
              <w:t xml:space="preserve">Mechanism</w:t>
            </w:r>
          </w:p>
        </w:tc>
        <w:tc>
          <w:tcPr/>
          <w:p>
            <w:pPr>
              <w:pStyle w:val="Compact"/>
            </w:pPr>
            <w:r>
              <w:t xml:space="preserve">Rationale</w:t>
            </w:r>
          </w:p>
        </w:tc>
        <w:tc>
          <w:tcPr/>
          <w:p>
            <w:pPr>
              <w:pStyle w:val="Compact"/>
            </w:pPr>
            <w:r>
              <w:t xml:space="preserve">Instantiation (v7.0)</w:t>
            </w:r>
          </w:p>
        </w:tc>
      </w:tr>
      <w:tr>
        <w:tc>
          <w:tcPr/>
          <w:p>
            <w:pPr>
              <w:pStyle w:val="Compact"/>
            </w:pPr>
            <w:r>
              <w:rPr>
                <w:b/>
                <w:bCs/>
              </w:rPr>
              <w:t xml:space="preserve">DP1: Contention-Free Scalability</w:t>
            </w:r>
          </w:p>
        </w:tc>
        <w:tc>
          <w:tcPr/>
          <w:p>
            <w:pPr>
              <w:pStyle w:val="Compact"/>
            </w:pPr>
            <w:r>
              <w:t xml:space="preserve">Achieve sustained write throughput ≥50 TPS with 100% success for GO lifecycle operations</w:t>
            </w:r>
          </w:p>
        </w:tc>
        <w:tc>
          <w:tcPr/>
          <w:p>
            <w:pPr>
              <w:pStyle w:val="Compact"/>
            </w:pPr>
            <w:r>
              <w:t xml:space="preserve">Permissioned DLT network with endorsement-based consensus where concurrent transactions cause MVCC read conflicts</w:t>
            </w:r>
          </w:p>
        </w:tc>
        <w:tc>
          <w:tcPr/>
          <w:p>
            <w:pPr>
              <w:pStyle w:val="Compact"/>
            </w:pPr>
            <w:r>
              <w:t xml:space="preserve">(a) Derive asset identifiers from transaction hashes rather than shared counters to eliminate write contention; (b) Use cursor-based pagination for all list queries; (c) Deprecate unpaginated endpoints with measured evidence</w:t>
            </w:r>
          </w:p>
        </w:tc>
        <w:tc>
          <w:tcPr/>
          <w:p>
            <w:pPr>
              <w:pStyle w:val="Compact"/>
            </w:pPr>
            <w:r>
              <w:t xml:space="preserve">Hash-based IDs make each transaction’s read-write set independent (no shared state). Pagination bounds per-query CouchDB cursor time to O(pageSize) rather than O(N). Endorsement-order-validate consensus already provides deterministic execution.</w:t>
            </w:r>
          </w:p>
        </w:tc>
        <w:tc>
          <w:tcPr/>
          <w:p>
            <w:pPr>
              <w:pStyle w:val="Compact"/>
            </w:pPr>
            <w:r>
              <w:t xml:space="preserve">ADR-001: SHA-256 hash IDs (0.8→50 TPS). ADR-006: Paginated queries (75× latency reduction). ADR-022: Deprecation (15.3s→10ms at 901 devices).</w:t>
            </w:r>
          </w:p>
        </w:tc>
      </w:tr>
      <w:tr>
        <w:tc>
          <w:tcPr/>
          <w:p>
            <w:pPr>
              <w:pStyle w:val="Compact"/>
            </w:pPr>
            <w:r>
              <w:rPr>
                <w:b/>
                <w:bCs/>
              </w:rPr>
              <w:t xml:space="preserve">DP2: Layered Verifiability</w:t>
            </w:r>
          </w:p>
        </w:tc>
        <w:tc>
          <w:tcPr/>
          <w:p>
            <w:pPr>
              <w:pStyle w:val="Compact"/>
            </w:pPr>
            <w:r>
              <w:t xml:space="preserve">Provide end-to-end cryptographic provenance from physical metering to cross-border GO transfer</w:t>
            </w:r>
          </w:p>
        </w:tc>
        <w:tc>
          <w:tcPr/>
          <w:p>
            <w:pPr>
              <w:pStyle w:val="Compact"/>
            </w:pPr>
            <w:r>
              <w:t xml:space="preserve">Multi-carrier energy system where producers self-report production data, conversion processes create derivative GOs, and regulators require audit trails</w:t>
            </w:r>
          </w:p>
        </w:tc>
        <w:tc>
          <w:tcPr/>
          <w:p>
            <w:pPr>
              <w:pStyle w:val="Compact"/>
            </w:pPr>
            <w:r>
              <w:t xml:space="preserve">(a) IoT device attestation via ECDSA signatures verified on-chain; (b) External data oracle cross-referencing production claims against grid generation records; (c) Hash commitment scheme for selective quantity verification; (d) Tombstone lifecycle tracking with CQRS events</w:t>
            </w:r>
          </w:p>
        </w:tc>
        <w:tc>
          <w:tcPr/>
          <w:p>
            <w:pPr>
              <w:pStyle w:val="Compact"/>
            </w:pPr>
            <w:r>
              <w:t xml:space="preserve">Each layer adds an independent verification check: device signatures prove reading authenticity, oracle data validates production plausibility, commitments enable third-party quantity verification, tombstones preserve immutable audit history. The layered approach means no single point of trust failure.</w:t>
            </w:r>
          </w:p>
        </w:tc>
        <w:tc>
          <w:tcPr/>
          <w:p>
            <w:pPr>
              <w:pStyle w:val="Compact"/>
            </w:pPr>
            <w:r>
              <w:t xml:space="preserve">ADR-027: ECDSA P-256 device attestation. ADR-029: ENTSO-E oracle + CrossReferenceGO. ADR-009/017: SHA-256 commitment with 128-bit random salt. ADR-007/016: Tombstone + CQRS events.</w:t>
            </w:r>
          </w:p>
        </w:tc>
      </w:tr>
      <w:tr>
        <w:tc>
          <w:tcPr/>
          <w:p>
            <w:pPr>
              <w:pStyle w:val="Compact"/>
            </w:pPr>
            <w:r>
              <w:rPr>
                <w:b/>
                <w:bCs/>
              </w:rPr>
              <w:t xml:space="preserve">DP3: Confidentiality Through Selective Disclosure</w:t>
            </w:r>
          </w:p>
        </w:tc>
        <w:tc>
          <w:tcPr/>
          <w:p>
            <w:pPr>
              <w:pStyle w:val="Compact"/>
            </w:pPr>
            <w:r>
              <w:t xml:space="preserve">Protect commercially sensitive GO attributes while enabling authorized verification</w:t>
            </w:r>
          </w:p>
        </w:tc>
        <w:tc>
          <w:tcPr/>
          <w:p>
            <w:pPr>
              <w:pStyle w:val="Compact"/>
            </w:pPr>
            <w:r>
              <w:t xml:space="preserve">GO markets where production quantities, emission values, and production methods are commercially sensitive, but regulators and auditors require access</w:t>
            </w:r>
          </w:p>
        </w:tc>
        <w:tc>
          <w:tcPr/>
          <w:p>
            <w:pPr>
              <w:pStyle w:val="Compact"/>
            </w:pPr>
            <w:r>
              <w:t xml:space="preserve">(a) Split GO data into public (identity, type, timestamps) and private (quantity, emissions, method) structs stored in organization-scoped private data collections; (b) Store quantity commitments (hash of quantity + random salt) on public ledger; (c) Apply per-asset endorsement policies binding modification rights to the producing organization and issuer; (d) Enforce automatic private data purging after retention period</w:t>
            </w:r>
          </w:p>
        </w:tc>
        <w:tc>
          <w:tcPr/>
          <w:p>
            <w:pPr>
              <w:pStyle w:val="Compact"/>
            </w:pPr>
            <w:r>
              <w:t xml:space="preserve">Private collections leverage Fabric’s gossip-based dissemination to share encrypted data only with authorized MSPs. Commitments enable verification without revealing the underlying value. Per-asset endorsement prevents colluding non-owner organizations from modifying GOs.</w:t>
            </w:r>
          </w:p>
        </w:tc>
        <w:tc>
          <w:tcPr/>
          <w:p>
            <w:pPr>
              <w:pStyle w:val="Compact"/>
            </w:pPr>
            <w:r>
              <w:t xml:space="preserve">ADR-009/017: Random-salt commitments. ADR-019: State-based per-asset endorsement. ADR-010: blockToLive=1M (~70 days). Private data collections per MSP.</w:t>
            </w:r>
          </w:p>
        </w:tc>
      </w:tr>
      <w:tr>
        <w:tc>
          <w:tcPr/>
          <w:p>
            <w:pPr>
              <w:pStyle w:val="Compact"/>
            </w:pPr>
            <w:r>
              <w:rPr>
                <w:b/>
                <w:bCs/>
              </w:rPr>
              <w:t xml:space="preserve">DP4: Standards-Aligned Cross-Domain Extensibility</w:t>
            </w:r>
          </w:p>
        </w:tc>
        <w:tc>
          <w:tcPr/>
          <w:p>
            <w:pPr>
              <w:pStyle w:val="Compact"/>
            </w:pPr>
            <w:r>
              <w:t xml:space="preserve">Enable GO data sharing across energy carriers and registries without custom adapters</w:t>
            </w:r>
          </w:p>
        </w:tc>
        <w:tc>
          <w:tcPr/>
          <w:p>
            <w:pPr>
              <w:pStyle w:val="Compact"/>
            </w:pPr>
            <w:r>
              <w:t xml:space="preserve">European GO market with 27 national registries, multiple energy carriers per country, CEN-EN 16325 as the harmonizing standard, and the AIB Hub as the cross-border exchange mechanism</w:t>
            </w:r>
          </w:p>
        </w:tc>
        <w:tc>
          <w:tcPr/>
          <w:p>
            <w:pPr>
              <w:pStyle w:val="Compact"/>
            </w:pPr>
            <w:r>
              <w:t xml:space="preserve">(a) Validate GO fields against CEN-EN 16325 at write time (country codes, EECS energy source codes, support scheme categories); (b) Implement a bridge protocol with explicit export/confirm/import state machine for cross-registry transfers; (c) Structure chaincode as independent contract namespaces (one per domain) sharing common asset types; (d) Version all APIs via a discovery endpoint</w:t>
            </w:r>
          </w:p>
        </w:tc>
        <w:tc>
          <w:tcPr/>
          <w:p>
            <w:pPr>
              <w:pStyle w:val="Compact"/>
            </w:pPr>
            <w:r>
              <w:t xml:space="preserve">Standards validation ensures all on-chain GOs are export-ready by construction. The bridge protocol mirrors the AIB Hub’s three-phase message flow. Contract namespaces enable adding new carriers (biogas in v5.0, bridge/oracle in v7.0) without modifying existing contracts. API versioning enables client compatibility checks.</w:t>
            </w:r>
          </w:p>
        </w:tc>
        <w:tc>
          <w:tcPr/>
          <w:p>
            <w:pPr>
              <w:pStyle w:val="Compact"/>
            </w:pPr>
            <w:r>
              <w:t xml:space="preserve">ADR-018: CEN-EN 16325 validation (validate_cen.go). ADR-024: BridgeContract (export/confirm/import). ADR-015: BiogasContract (carrier extensibility). ADR-013: GetVersion (9 APIs in v7.0).</w:t>
            </w:r>
          </w:p>
        </w:tc>
      </w:tr>
    </w:tbl>
    <w:p>
      <w:pPr>
        <w:pStyle w:val="BodyText"/>
      </w:pPr>
      <w:r>
        <w:rPr>
          <w:b/>
          <w:bCs/>
        </w:rPr>
        <w:t xml:space="preserve">DP1 elaboration.</w:t>
      </w:r>
      <w:r>
        <w:t xml:space="preserve"> </w:t>
      </w:r>
      <w:r>
        <w:t xml:space="preserve">The contention-free scalability principle emerged from the most impactful architectural decision in the project’s history. The v1.0 prototype used a shared counter (atomicCounter) to generate sequential GO identifiers, causing Multi-Version Concurrency Control (MVCC) read conflicts during endorsement when multiple transactions concurrently incremented the same key. This reduced effective write throughput to 0.8 TPS with a 90% failure rate. ADR-001 replaced the counter with SHA-256 hashes of transaction IDs, making each transaction’s read-write set completely independent. The result was immediate: 50 TPS at 100% success—a 63× throughput improvement from a single architectural change. The pagination mechanism (ADR-006) addresses the complementary read-path scalability challenge: as the dataset grows, unpaginated list queries perform full CouchDB collection scans with O(N) complexity. Cursor-based pagination bounds each query to O(pageSize), achieving consistent 10ms latency regardless of total dataset size.</w:t>
      </w:r>
    </w:p>
    <w:p>
      <w:pPr>
        <w:pStyle w:val="BodyText"/>
      </w:pPr>
      <w:r>
        <w:rPr>
          <w:b/>
          <w:bCs/>
        </w:rPr>
        <w:t xml:space="preserve">DP2 elaboration.</w:t>
      </w:r>
      <w:r>
        <w:t xml:space="preserve"> </w:t>
      </w:r>
      <w:r>
        <w:t xml:space="preserve">Layered verifiability addresses the fundamental trust deficit in self-reported energy production data. In current GO schemes, producers submit production declarations that issuing bodies accept largely at face value, with only periodic physical audits. The five-layer verifiability stack provides progressive trust assurance: (1) IoT device attestation proves that a meter reading was produced by a specific registered device using ECDSA P-256 digital signatures; (2) CEN-EN 16325 field validation ensures structural correctness of GO metadata; (3) hash commitments enable selective quantity verification by third parties without disclosing exact values; (4) tombstone lifecycle tracking preserves an immutable audit trail of every state transition; (5) external oracle cross-referencing validates production claims against independently published ENTSO-E grid generation data. The layered design is deliberately redundant: each layer provides an independent trust channel, so failure of any single layer (e.g., oracle data unavailability) does not invalidate the entire provenance chain.</w:t>
      </w:r>
    </w:p>
    <w:p>
      <w:pPr>
        <w:pStyle w:val="BodyText"/>
      </w:pPr>
      <w:r>
        <w:rPr>
          <w:b/>
          <w:bCs/>
        </w:rPr>
        <w:t xml:space="preserve">DP3 elaboration.</w:t>
      </w:r>
      <w:r>
        <w:t xml:space="preserve"> </w:t>
      </w:r>
      <w:r>
        <w:t xml:space="preserve">The selective disclosure principle resolves the tension between the transparency required for regulatory auditing and the confidentiality demanded by market participants for commercially sensitive production data. The mechanism splits each GO into public and private data components, stored respectively in Fabric’s world state and organization-scoped private data collections. The public component carries identity, lifecycle status, and CEN-EN 16325 metadata—information needed for market operations and regulatory oversight. The private component carries quantities, emissions, production methods, and commitment salts—information that constitutes competitive intelligence. The hash commitment bridge between these components enables a verifier to confirm a claimed quantity by recomputing the hash with the disclosed salt, without the quantity being visible on the public ledger.</w:t>
      </w:r>
    </w:p>
    <w:p>
      <w:pPr>
        <w:pStyle w:val="BodyText"/>
      </w:pPr>
      <w:r>
        <w:rPr>
          <w:b/>
          <w:bCs/>
        </w:rPr>
        <w:t xml:space="preserve">DP4 elaboration.</w:t>
      </w:r>
      <w:r>
        <w:t xml:space="preserve"> </w:t>
      </w:r>
      <w:r>
        <w:t xml:space="preserve">Standards-aligned extensibility anticipates a regulatory environment that is still forming. When the prototype was first designed, only electricity GOs had established registries and data standards. By aligning the data model with the CEN-EN 16325 revision (which defines fields for all energy carriers), the architecture ensures that GOs for future carriers (thermal energy, renewable fuels of non-biological origin) can be created without data model modifications. The bridge protocol provides the cross-registry transfer mechanism: an explicit three-phase state machine (export → confirm → import) that mirrors the AIB Hub’s existing EECS Inter-Domain Transfer message flow, ensuring compatibility with established operational processes.</w:t>
      </w:r>
    </w:p>
    <w:bookmarkEnd w:id="26"/>
    <w:bookmarkStart w:id="27" w:name="conceptual-architecture"/>
    <w:p>
      <w:pPr>
        <w:pStyle w:val="Heading3"/>
      </w:pPr>
      <w:r>
        <w:t xml:space="preserve">4.4 Conceptual Architecture</w:t>
      </w:r>
    </w:p>
    <w:p>
      <w:pPr>
        <w:pStyle w:val="FirstParagraph"/>
      </w:pPr>
      <w:r>
        <w:t xml:space="preserve">The conceptual architecture follows a three-tier pattern adapted for distributed ledger infrastructure: a presentation layer (React frontend), an application layer (Express.js REST backend integrating the Fabric Gateway SDK for transaction submission and event listening), and a distributed ledger layer (Hyperledger Fabric 2.5 network with Raft consensus ordering). This three-tier pattern is informed by the enterprise blockchain reference architecture patterns identified in the Hyperledger Architecture Working Group specifications.</w:t>
      </w:r>
    </w:p>
    <w:p>
      <w:pPr>
        <w:pStyle w:val="BodyText"/>
      </w:pPr>
      <w:r>
        <w:t xml:space="preserve">The distributed ledger layer is organized around a tiered organization model reflecting GO market participant roles: Tier 1 organizations are</w:t>
      </w:r>
      <w:r>
        <w:t xml:space="preserve"> </w:t>
      </w:r>
      <w:r>
        <w:rPr>
          <w:i/>
          <w:iCs/>
        </w:rPr>
        <w:t xml:space="preserve">Issuers</w:t>
      </w:r>
      <w:r>
        <w:t xml:space="preserve"> </w:t>
      </w:r>
      <w:r>
        <w:t xml:space="preserve">(registry operators such as national energy authorities) with full administrative privileges including GO lifecycle management; Tier 2 organizations are</w:t>
      </w:r>
      <w:r>
        <w:t xml:space="preserve"> </w:t>
      </w:r>
      <w:r>
        <w:rPr>
          <w:i/>
          <w:iCs/>
        </w:rPr>
        <w:t xml:space="preserve">Producers</w:t>
      </w:r>
      <w:r>
        <w:t xml:space="preserve"> </w:t>
      </w:r>
      <w:r>
        <w:t xml:space="preserve">(energy generators with registered metering devices) authorized to submit production data and initiate issuance requests; Tier 3 organizations are</w:t>
      </w:r>
      <w:r>
        <w:t xml:space="preserve"> </w:t>
      </w:r>
      <w:r>
        <w:rPr>
          <w:i/>
          <w:iCs/>
        </w:rPr>
        <w:t xml:space="preserve">Consumers</w:t>
      </w:r>
      <w:r>
        <w:t xml:space="preserve"> </w:t>
      </w:r>
      <w:r>
        <w:t xml:space="preserve">(energy buyers) who can transfer and cancel GOs to make renewable energy claims. Each tier has distinct access privileges enforced through a combination of role-based access control (RBAC) using MSP organizational unit attributes and attribute-based access control (ABAC) at the chaincode level, where transaction-submitting identity attributes are checked before state modifications.</w:t>
      </w:r>
    </w:p>
    <w:p>
      <w:pPr>
        <w:pStyle w:val="BodyText"/>
      </w:pPr>
      <w:r>
        <w:t xml:space="preserve">The distributed ledger layer maintains two data planes: a public world state (GO identity, lifecycle status, creation and update timestamps, CEN-EN 16325 metadata including country, energy source, grid connection point, production period, support scheme, and quantity commitment hashes) readable by all channel members, and private data collections scoped to individual organizations (production quantities in MWh, emission values in gCO2eq, production methods, device identifiers, commitment salts, and consumption declarations from conversion processes). The public plane provides the transparency and verifiability required by regulators and auditors—any channel member can query the lifecycle history of any GO—while the private plane preserves the commercial confidentiality demanded by market participants. This dual-plane architecture directly instantiates DP3 (Confidentiality Through Selective Disclosure).</w:t>
      </w:r>
    </w:p>
    <w:p>
      <w:pPr>
        <w:pStyle w:val="BodyText"/>
      </w:pPr>
      <w:r>
        <w:t xml:space="preserve">The chaincode layer is organized into 10 independent contract namespaces grouped by functional domain:</w:t>
      </w:r>
      <w:r>
        <w:t xml:space="preserve"> </w:t>
      </w:r>
      <w:r>
        <w:rPr>
          <w:i/>
          <w:iCs/>
        </w:rPr>
        <w:t xml:space="preserve">Domain Contracts</w:t>
      </w:r>
      <w:r>
        <w:t xml:space="preserve"> </w:t>
      </w:r>
      <w:r>
        <w:t xml:space="preserve">handle core GO lifecycle operations (IssuanceContract, TransferContract, ConversionContract, CancellationContract, BiogasContract);</w:t>
      </w:r>
      <w:r>
        <w:t xml:space="preserve"> </w:t>
      </w:r>
      <w:r>
        <w:rPr>
          <w:i/>
          <w:iCs/>
        </w:rPr>
        <w:t xml:space="preserve">Market Integration Contracts</w:t>
      </w:r>
      <w:r>
        <w:t xml:space="preserve"> </w:t>
      </w:r>
      <w:r>
        <w:t xml:space="preserve">manage cross-registry communication (BridgeContract, OracleContract);</w:t>
      </w:r>
      <w:r>
        <w:t xml:space="preserve"> </w:t>
      </w:r>
      <w:r>
        <w:rPr>
          <w:i/>
          <w:iCs/>
        </w:rPr>
        <w:t xml:space="preserve">Infrastructure Contracts</w:t>
      </w:r>
      <w:r>
        <w:t xml:space="preserve"> </w:t>
      </w:r>
      <w:r>
        <w:t xml:space="preserve">provide supporting services (QueryContract, DeviceContract, AdminContract). Each namespace is independently addressable and can be upgraded without affecting others, directly instantiating the namespace-based extensibility mechanism of DP4.</w:t>
      </w:r>
    </w:p>
    <w:p>
      <w:pPr>
        <w:pStyle w:val="BodyText"/>
      </w:pPr>
      <w:r>
        <w:t xml:space="preserve">[FIGURE 3: Conceptual Architecture — Three-tier stack with tiered organizations (Issuer/Producer/Consumer), public/private data planes, and 10 contract namespaces grouped into Domain Contracts, Market Integration Contracts, and Infrastructure Contracts]</w:t>
      </w:r>
    </w:p>
    <w:bookmarkEnd w:id="27"/>
    <w:bookmarkStart w:id="28" w:name="hyperledger-fabric-prototype"/>
    <w:p>
      <w:pPr>
        <w:pStyle w:val="Heading3"/>
      </w:pPr>
      <w:r>
        <w:t xml:space="preserve">4.5 Hyperledger Fabric Prototype</w:t>
      </w:r>
    </w:p>
    <w:p>
      <w:pPr>
        <w:pStyle w:val="FirstParagraph"/>
      </w:pPr>
      <w:r>
        <w:t xml:space="preserve">The prototype was deployed on a Hetzner dedicated server (16 vCPU, 32 GB RAM, Ubuntu 24.04 LTS) running Hyperledger Fabric 2.5.12. The network comprises four organizations (issuer1MSP, eproducer1MSP for electricity producers, hproducer1MSP for hydrogen producers, buyer1MSP), each with a single peer node and CouchDB 3.3.3 state database, plus four Raft orderer nodes providing crash fault tolerance. All inter-node communication uses mutual TLS with certificates generated via</w:t>
      </w:r>
      <w:r>
        <w:t xml:space="preserve"> </w:t>
      </w:r>
      <w:r>
        <w:rPr>
          <w:rStyle w:val="VerbatimChar"/>
        </w:rPr>
        <w:t xml:space="preserve">cryptogen</w:t>
      </w:r>
      <w:r>
        <w:t xml:space="preserve">. The Go chaincode (</w:t>
      </w:r>
      <w:r>
        <w:rPr>
          <w:rStyle w:val="VerbatimChar"/>
        </w:rPr>
        <w:t xml:space="preserve">golifecycle</w:t>
      </w:r>
      <w:r>
        <w:t xml:space="preserve">, compiled with Go 1.22.1) registers 10 named contract namespaces through Fabric’s</w:t>
      </w:r>
      <w:r>
        <w:t xml:space="preserve"> </w:t>
      </w:r>
      <w:r>
        <w:rPr>
          <w:rStyle w:val="VerbatimChar"/>
        </w:rPr>
        <w:t xml:space="preserve">contractapi.ContractInterface</w:t>
      </w:r>
      <w:r>
        <w:t xml:space="preserve">, exposing approximately 50 exported transaction functions.</w:t>
      </w:r>
    </w:p>
    <w:p>
      <w:pPr>
        <w:pStyle w:val="BodyText"/>
      </w:pPr>
      <w:r>
        <w:rPr>
          <w:b/>
          <w:bCs/>
        </w:rPr>
        <w:t xml:space="preserve">Data Model.</w:t>
      </w:r>
      <w:r>
        <w:t xml:space="preserve"> </w:t>
      </w:r>
      <w:r>
        <w:t xml:space="preserve">GO assets follow the public/private split pattern prescribed by DP3. The public</w:t>
      </w:r>
      <w:r>
        <w:t xml:space="preserve"> </w:t>
      </w:r>
      <w:r>
        <w:rPr>
          <w:rStyle w:val="VerbatimChar"/>
        </w:rPr>
        <w:t xml:space="preserve">GOasset</w:t>
      </w:r>
      <w:r>
        <w:t xml:space="preserve"> </w:t>
      </w:r>
      <w:r>
        <w:t xml:space="preserve">struct stores: asset ID (SHA-256 hash of the creating transaction ID, implementing DP1’s contention-free identifier generation), creation and update timestamps, GO type (electricity, hydrogen, biogas), producer MSP identifier, CEN-EN 16325 fields (ISO 3166-1 alpha-2 country code, EECS energy source code matching</w:t>
      </w:r>
      <w:r>
        <w:t xml:space="preserve"> </w:t>
      </w:r>
      <w:r>
        <w:rPr>
          <w:rStyle w:val="VerbatimChar"/>
        </w:rPr>
        <w:t xml:space="preserve">^F\d{8}$</w:t>
      </w:r>
      <w:r>
        <w:t xml:space="preserve">, EIC grid connection point code, production period start/end timestamps, enumerated support scheme category), lifecycle status (active, cancelled, transferred, expired), and a quantity commitment hash (SHA-256 of quantity concatenated with a 128-bit random salt). The private</w:t>
      </w:r>
      <w:r>
        <w:t xml:space="preserve"> </w:t>
      </w:r>
      <w:r>
        <w:rPr>
          <w:rStyle w:val="VerbatimChar"/>
        </w:rPr>
        <w:t xml:space="preserve">GOassetPrivate</w:t>
      </w:r>
      <w:r>
        <w:t xml:space="preserve"> </w:t>
      </w:r>
      <w:r>
        <w:t xml:space="preserve">struct stores: quantity in MWh, emissions in gCO2eq, production method description, device ID linking to the registered metering device, the commitment salt for verification, and consumption declaration records from conversion processes capturing consumed quantities and the target carrier type.</w:t>
      </w:r>
    </w:p>
    <w:p>
      <w:pPr>
        <w:pStyle w:val="BodyText"/>
      </w:pPr>
      <w:r>
        <w:rPr>
          <w:b/>
          <w:bCs/>
        </w:rPr>
        <w:t xml:space="preserve">Cross-Registry Bridge (v7.0).</w:t>
      </w:r>
      <w:r>
        <w:t xml:space="preserve"> </w:t>
      </w:r>
      <w:r>
        <w:t xml:space="preserve">The</w:t>
      </w:r>
      <w:r>
        <w:t xml:space="preserve"> </w:t>
      </w:r>
      <w:r>
        <w:rPr>
          <w:rStyle w:val="VerbatimChar"/>
        </w:rPr>
        <w:t xml:space="preserve">BridgeContract</w:t>
      </w:r>
      <w:r>
        <w:t xml:space="preserve"> </w:t>
      </w:r>
      <w:r>
        <w:t xml:space="preserve">(ADR-024) manages GO movements between registries through a three-phase state machine protocol, mirroring the AIB Hub’s EECS Inter-Domain Transfer flow. Phase 1:</w:t>
      </w:r>
      <w:r>
        <w:t xml:space="preserve"> </w:t>
      </w:r>
      <w:r>
        <w:rPr>
          <w:rStyle w:val="VerbatimChar"/>
        </w:rPr>
        <w:t xml:space="preserve">ExportGO</w:t>
      </w:r>
      <w:r>
        <w:t xml:space="preserve"> </w:t>
      </w:r>
      <w:r>
        <w:t xml:space="preserve">validates that the source GO is active and owned by the invoking organization, then atomically transitions it to</w:t>
      </w:r>
      <w:r>
        <w:t xml:space="preserve"> </w:t>
      </w:r>
      <w:r>
        <w:t xml:space="preserve">“exported”</w:t>
      </w:r>
      <w:r>
        <w:t xml:space="preserve"> </w:t>
      </w:r>
      <w:r>
        <w:t xml:space="preserve">status while creating a</w:t>
      </w:r>
      <w:r>
        <w:t xml:space="preserve"> </w:t>
      </w:r>
      <w:r>
        <w:rPr>
          <w:rStyle w:val="VerbatimChar"/>
        </w:rPr>
        <w:t xml:space="preserve">BridgeTransfer</w:t>
      </w:r>
      <w:r>
        <w:t xml:space="preserve"> </w:t>
      </w:r>
      <w:r>
        <w:t xml:space="preserve">record containing the source and destination registry identifiers, CEN-EN 16325 metadata (country, energy source, production period), requestor identity, and a pending status timestamp. Phase 2:</w:t>
      </w:r>
      <w:r>
        <w:t xml:space="preserve"> </w:t>
      </w:r>
      <w:r>
        <w:rPr>
          <w:rStyle w:val="VerbatimChar"/>
        </w:rPr>
        <w:t xml:space="preserve">ConfirmExport</w:t>
      </w:r>
      <w:r>
        <w:t xml:space="preserve"> </w:t>
      </w:r>
      <w:r>
        <w:t xml:space="preserve">transitions the bridge record to</w:t>
      </w:r>
      <w:r>
        <w:t xml:space="preserve"> </w:t>
      </w:r>
      <w:r>
        <w:t xml:space="preserve">“confirmed”</w:t>
      </w:r>
      <w:r>
        <w:t xml:space="preserve"> </w:t>
      </w:r>
      <w:r>
        <w:t xml:space="preserve">upon receiving an acknowledgment from the destination registry’s authorized representative. Phase 3:</w:t>
      </w:r>
      <w:r>
        <w:t xml:space="preserve"> </w:t>
      </w:r>
      <w:r>
        <w:rPr>
          <w:rStyle w:val="VerbatimChar"/>
        </w:rPr>
        <w:t xml:space="preserve">ImportGO</w:t>
      </w:r>
      <w:r>
        <w:t xml:space="preserve"> </w:t>
      </w:r>
      <w:r>
        <w:t xml:space="preserve">allows a destination registry to create a local GO asset from the confirmed bridge transfer record, establishing the imported GO’s provenance chain back to the source registry. The bridge transfer record persists on-chain, providing a permanent cross-registry audit trail.</w:t>
      </w:r>
    </w:p>
    <w:p>
      <w:pPr>
        <w:pStyle w:val="BodyText"/>
      </w:pPr>
      <w:r>
        <w:rPr>
          <w:b/>
          <w:bCs/>
        </w:rPr>
        <w:t xml:space="preserve">IoT Device Attestation (v7.0).</w:t>
      </w:r>
      <w:r>
        <w:t xml:space="preserve"> </w:t>
      </w:r>
      <w:r>
        <w:t xml:space="preserve">The</w:t>
      </w:r>
      <w:r>
        <w:t xml:space="preserve"> </w:t>
      </w:r>
      <w:r>
        <w:rPr>
          <w:rStyle w:val="VerbatimChar"/>
        </w:rPr>
        <w:t xml:space="preserve">DeviceContract</w:t>
      </w:r>
      <w:r>
        <w:t xml:space="preserve"> </w:t>
      </w:r>
      <w:r>
        <w:t xml:space="preserve">(ADR-027) establishes hardware-rooted trust for metering data. Devices are registered with their ECDSA P-256 public keys stored on-chain alongside their organizational affiliation and device type. The</w:t>
      </w:r>
      <w:r>
        <w:t xml:space="preserve"> </w:t>
      </w:r>
      <w:r>
        <w:rPr>
          <w:rStyle w:val="VerbatimChar"/>
        </w:rPr>
        <w:t xml:space="preserve">SubmitSignedReading</w:t>
      </w:r>
      <w:r>
        <w:t xml:space="preserve"> </w:t>
      </w:r>
      <w:r>
        <w:t xml:space="preserve">function accepts a meter reading payload and its ECDSA signature, reconstructs the public key from the registered device record, and verifies the signature using Go’s</w:t>
      </w:r>
      <w:r>
        <w:t xml:space="preserve"> </w:t>
      </w:r>
      <w:r>
        <w:rPr>
          <w:rStyle w:val="VerbatimChar"/>
        </w:rPr>
        <w:t xml:space="preserve">crypto/ecdsa</w:t>
      </w:r>
      <w:r>
        <w:t xml:space="preserve"> </w:t>
      </w:r>
      <w:r>
        <w:t xml:space="preserve">library with the P-256 curve. Only readings with valid signatures are persisted to the world state, creating an unforgeable link between the physical metering device and the on-chain production record. This mechanism directly supports DP2’s layered verifiability by providing the bottom layer of the trust stack.</w:t>
      </w:r>
    </w:p>
    <w:p>
      <w:pPr>
        <w:pStyle w:val="BodyText"/>
      </w:pPr>
      <w:r>
        <w:rPr>
          <w:b/>
          <w:bCs/>
        </w:rPr>
        <w:t xml:space="preserve">External Data Oracle (v7.0).</w:t>
      </w:r>
      <w:r>
        <w:t xml:space="preserve"> </w:t>
      </w:r>
      <w:r>
        <w:t xml:space="preserve">The</w:t>
      </w:r>
      <w:r>
        <w:t xml:space="preserve"> </w:t>
      </w:r>
      <w:r>
        <w:rPr>
          <w:rStyle w:val="VerbatimChar"/>
        </w:rPr>
        <w:t xml:space="preserve">OracleContract</w:t>
      </w:r>
      <w:r>
        <w:t xml:space="preserve"> </w:t>
      </w:r>
      <w:r>
        <w:t xml:space="preserve">(ADR-029) enables cross-referencing of GO production claims against independently published grid generation data. Authorized oracle operators publish</w:t>
      </w:r>
      <w:r>
        <w:t xml:space="preserve"> </w:t>
      </w:r>
      <w:r>
        <w:rPr>
          <w:rStyle w:val="VerbatimChar"/>
        </w:rPr>
        <w:t xml:space="preserve">GridGenerationRecord</w:t>
      </w:r>
      <w:r>
        <w:t xml:space="preserve"> </w:t>
      </w:r>
      <w:r>
        <w:t xml:space="preserve">entries containing timestamp, energy source, installed capacity, and generation output data sourced from the ENTSO-E Transparency Platform. The</w:t>
      </w:r>
      <w:r>
        <w:t xml:space="preserve"> </w:t>
      </w:r>
      <w:r>
        <w:rPr>
          <w:rStyle w:val="VerbatimChar"/>
        </w:rPr>
        <w:t xml:space="preserve">CrossReferenceGO</w:t>
      </w:r>
      <w:r>
        <w:t xml:space="preserve"> </w:t>
      </w:r>
      <w:r>
        <w:t xml:space="preserve">function compares a GO’s claimed production period and energy source against stored grid records, returning a match/mismatch assessment. This provides an automated plausibility check: a GO claiming solar generation during nighttime hours, or wind generation during a documented calm period, would be flagged for manual review.</w:t>
      </w:r>
    </w:p>
    <w:p>
      <w:pPr>
        <w:pStyle w:val="BodyText"/>
      </w:pPr>
      <w:r>
        <w:rPr>
          <w:b/>
          <w:bCs/>
        </w:rPr>
        <w:t xml:space="preserve">CEN-EN 16325 Validation (v6.0).</w:t>
      </w:r>
      <w:r>
        <w:t xml:space="preserve"> </w:t>
      </w:r>
      <w:r>
        <w:t xml:space="preserve">The</w:t>
      </w:r>
      <w:r>
        <w:t xml:space="preserve"> </w:t>
      </w:r>
      <w:r>
        <w:rPr>
          <w:rStyle w:val="VerbatimChar"/>
        </w:rPr>
        <w:t xml:space="preserve">validate_cen.go</w:t>
      </w:r>
      <w:r>
        <w:t xml:space="preserve"> </w:t>
      </w:r>
      <w:r>
        <w:t xml:space="preserve">module (ADR-018) enforces comprehensive field validation at write time: ISO 3166-1 alpha-2 country codes validated against a complete enumeration of valid codes, EECS energy source codes matched against the pattern</w:t>
      </w:r>
      <w:r>
        <w:t xml:space="preserve"> </w:t>
      </w:r>
      <w:r>
        <w:rPr>
          <w:rStyle w:val="VerbatimChar"/>
        </w:rPr>
        <w:t xml:space="preserve">^F\d{8}$</w:t>
      </w:r>
      <w:r>
        <w:t xml:space="preserve">, support scheme categories constrained to an enumerated set (no_support, feed_in_tariff, feed_in_premium, quota_obligation, investment_aid), EIC grid connection point codes, and production period reasonableness checks (end must follow start, maximum duration 366 days). This write-time validation ensures all on-chain GOs are structurally compatible with the CEN-EN 16325 standard, making them export-ready by construction—a key mechanism of DP4.</w:t>
      </w:r>
    </w:p>
    <w:p>
      <w:pPr>
        <w:pStyle w:val="BodyText"/>
      </w:pPr>
      <w:r>
        <w:rPr>
          <w:b/>
          <w:bCs/>
        </w:rPr>
        <w:t xml:space="preserve">Architectural Evolution.</w:t>
      </w:r>
      <w:r>
        <w:t xml:space="preserve"> </w:t>
      </w:r>
      <w:r>
        <w:t xml:space="preserve">The progression from v1.0 to v7.0 demonstrates systematic design space exploration through 29 ADRs. v1.0 was a monolithic chaincode with sequential counters achieving only 0.8 TPS write throughput at 90% failure rate. v3.0 introduced hash-based IDs (ADR-001) achieving 50 TPS at 100% success—a 63× improvement. v4.0 added pagination (ADR-006), tombstones (ADR-007), and commitments (ADR-009). v5.0 grew from 6 to 8 contract namespaces with CEN-EN 16325 alignment (ADR-012) and biogas support (ADR-015). v6.0 hardened security with cryptographic salts (ADR-017) and per-asset endorsement (ADR-019). v7.0 reached 10 namespaces with bridge (ADR-024), device attestation (ADR-027), and oracle (ADR-029). Throughout this evolution, the core write throughput of 50 TPS has remained stable with zero regression—a testament to the contention-free architecture of DP1.</w:t>
      </w:r>
    </w:p>
    <w:p>
      <w:pPr>
        <w:pStyle w:val="BodyText"/>
      </w:pPr>
      <w:r>
        <w:t xml:space="preserve">[FIGURE 4: v7.0 Contract Architecture (10 namespaces) and Verifiability Stack (Physical → Attestation → Issuance → Lifecycle → Cross-Reference → Bridge layers) — from architecture-diagrams.md, Figures 10 and 16]</w:t>
      </w:r>
    </w:p>
    <w:p>
      <w:r>
        <w:pict>
          <v:rect style="width:0;height:1.5pt" o:hralign="center" o:hrstd="t" o:hr="t"/>
        </w:pict>
      </w:r>
    </w:p>
    <w:bookmarkEnd w:id="28"/>
    <w:bookmarkEnd w:id="29"/>
    <w:bookmarkStart w:id="33" w:name="evaluation"/>
    <w:p>
      <w:pPr>
        <w:pStyle w:val="Heading2"/>
      </w:pPr>
      <w:r>
        <w:t xml:space="preserve">5. Evaluation</w:t>
      </w:r>
    </w:p>
    <w:bookmarkStart w:id="30" w:name="evaluation-approach"/>
    <w:p>
      <w:pPr>
        <w:pStyle w:val="Heading3"/>
      </w:pPr>
      <w:r>
        <w:t xml:space="preserve">5.1 Evaluation Approach</w:t>
      </w:r>
    </w:p>
    <w:p>
      <w:pPr>
        <w:pStyle w:val="FirstParagraph"/>
      </w:pPr>
      <w:r>
        <w:t xml:space="preserve">The artifact was evaluated using a concurrent evaluation approach (Sonnenberg and vom Brocke 2012): quantitative Caliper performance benchmarks and systematic architecture critiques after each design cycle. The architecture critique methodology analyzes each of the four design principles through</w:t>
      </w:r>
      <w:r>
        <w:t xml:space="preserve"> </w:t>
      </w:r>
      <w:r>
        <w:t xml:space="preserve">“arguments in favour”</w:t>
      </w:r>
      <w:r>
        <w:t xml:space="preserve"> </w:t>
      </w:r>
      <w:r>
        <w:t xml:space="preserve">(evidence supporting the DP) and</w:t>
      </w:r>
      <w:r>
        <w:t xml:space="preserve"> </w:t>
      </w:r>
      <w:r>
        <w:t xml:space="preserve">“arguments against”</w:t>
      </w:r>
      <w:r>
        <w:t xml:space="preserve"> </w:t>
      </w:r>
      <w:r>
        <w:t xml:space="preserve">(identified gaps and limitations), ensuring a balanced assessment that avoids advocacy bias.</w:t>
      </w:r>
    </w:p>
    <w:p>
      <w:pPr>
        <w:pStyle w:val="BodyText"/>
      </w:pPr>
      <w:r>
        <w:t xml:space="preserve">Performance benchmarks were conducted using Hyperledger Caliper v0.6.0 with 10 workers on the production-grade Hetzner VM deployment (Fabric 2.5.12, 4 organizations, Raft consensus, CouchDB). The v7.0 benchmark comprised 28 rounds over 511 seconds with 901 registered devices.</w:t>
      </w:r>
    </w:p>
    <w:bookmarkEnd w:id="30"/>
    <w:bookmarkStart w:id="31" w:name="evaluation-results"/>
    <w:p>
      <w:pPr>
        <w:pStyle w:val="Heading3"/>
      </w:pPr>
      <w:r>
        <w:t xml:space="preserve">5.2 Evaluation Results</w:t>
      </w:r>
    </w:p>
    <w:p>
      <w:pPr>
        <w:pStyle w:val="FirstParagraph"/>
      </w:pPr>
      <w:r>
        <w:rPr>
          <w:b/>
          <w:bCs/>
        </w:rPr>
        <w:t xml:space="preserve">[TABLE 4: DP-Challenge-MR Mapping with Evaluation Evidence]</w:t>
      </w:r>
    </w:p>
    <w:tbl>
      <w:tblPr>
        <w:tblStyle w:val="Table"/>
        <w:tblW w:type="pct" w:w="5000"/>
        <w:tblLayout w:type="fixed"/>
        <w:tblLook w:firstRow="1" w:lastRow="0" w:firstColumn="0" w:lastColumn="0" w:noHBand="0" w:noVBand="0" w:val="0020"/>
      </w:tblPr>
      <w:tblGrid>
        <w:gridCol w:w="772"/>
        <w:gridCol w:w="965"/>
        <w:gridCol w:w="2124"/>
        <w:gridCol w:w="4056"/>
      </w:tblGrid>
      <w:tr>
        <w:trPr>
          <w:tblHeader w:val="on"/>
        </w:trPr>
        <w:tc>
          <w:tcPr/>
          <w:p>
            <w:pPr>
              <w:pStyle w:val="Compact"/>
            </w:pPr>
            <w:r>
              <w:t xml:space="preserve">DP</w:t>
            </w:r>
          </w:p>
        </w:tc>
        <w:tc>
          <w:tcPr/>
          <w:p>
            <w:pPr>
              <w:pStyle w:val="Compact"/>
            </w:pPr>
            <w:r>
              <w:t xml:space="preserve">MR</w:t>
            </w:r>
          </w:p>
        </w:tc>
        <w:tc>
          <w:tcPr/>
          <w:p>
            <w:pPr>
              <w:pStyle w:val="Compact"/>
            </w:pPr>
            <w:r>
              <w:t xml:space="preserve">Challenges</w:t>
            </w:r>
          </w:p>
        </w:tc>
        <w:tc>
          <w:tcPr/>
          <w:p>
            <w:pPr>
              <w:pStyle w:val="Compact"/>
            </w:pPr>
            <w:r>
              <w:t xml:space="preserve">Key Evidence (v7.0)</w:t>
            </w:r>
          </w:p>
        </w:tc>
      </w:tr>
      <w:tr>
        <w:tc>
          <w:tcPr/>
          <w:p>
            <w:pPr>
              <w:pStyle w:val="Compact"/>
            </w:pPr>
            <w:r>
              <w:t xml:space="preserve">DP1: Contention-Free Scalability</w:t>
            </w:r>
          </w:p>
        </w:tc>
        <w:tc>
          <w:tcPr/>
          <w:p>
            <w:pPr>
              <w:pStyle w:val="Compact"/>
            </w:pPr>
            <w:r>
              <w:t xml:space="preserve">MR1</w:t>
            </w:r>
          </w:p>
        </w:tc>
        <w:tc>
          <w:tcPr/>
          <w:p>
            <w:pPr>
              <w:pStyle w:val="Compact"/>
            </w:pPr>
            <w:r>
              <w:t xml:space="preserve">C1, C2, C3</w:t>
            </w:r>
          </w:p>
        </w:tc>
        <w:tc>
          <w:tcPr/>
          <w:p>
            <w:pPr>
              <w:pStyle w:val="Compact"/>
            </w:pPr>
            <w:r>
              <w:t xml:space="preserve">Write: 50 TPS, 100ms latency, 100% success (consistent v3.0–v7.0). Reads: 2,000 TPS at 0% failure. Pagination: 500 TPS vs. 23.5 TPS unpaginated (901 devices).</w:t>
            </w:r>
          </w:p>
        </w:tc>
      </w:tr>
      <w:tr>
        <w:tc>
          <w:tcPr/>
          <w:p>
            <w:pPr>
              <w:pStyle w:val="Compact"/>
            </w:pPr>
            <w:r>
              <w:t xml:space="preserve">DP2: Layered Verifiability</w:t>
            </w:r>
          </w:p>
        </w:tc>
        <w:tc>
          <w:tcPr/>
          <w:p>
            <w:pPr>
              <w:pStyle w:val="Compact"/>
            </w:pPr>
            <w:r>
              <w:t xml:space="preserve">MR2</w:t>
            </w:r>
          </w:p>
        </w:tc>
        <w:tc>
          <w:tcPr/>
          <w:p>
            <w:pPr>
              <w:pStyle w:val="Compact"/>
            </w:pPr>
            <w:r>
              <w:t xml:space="preserve">C3, C4, C5</w:t>
            </w:r>
          </w:p>
        </w:tc>
        <w:tc>
          <w:tcPr/>
          <w:p>
            <w:pPr>
              <w:pStyle w:val="Compact"/>
            </w:pPr>
            <w:r>
              <w:t xml:space="preserve">Device attestation: ECDSA P-256 verification implemented (not benchmarked — cryptogen/CA trust mismatch). Oracle: PublishGridData 110ms, GetGridData 500 TPS. CrossReferenceGO operational. State-based endorsement per asset.</w:t>
            </w:r>
          </w:p>
        </w:tc>
      </w:tr>
      <w:tr>
        <w:tc>
          <w:tcPr/>
          <w:p>
            <w:pPr>
              <w:pStyle w:val="Compact"/>
            </w:pPr>
            <w:r>
              <w:t xml:space="preserve">DP3: Selective Disclosure</w:t>
            </w:r>
          </w:p>
        </w:tc>
        <w:tc>
          <w:tcPr/>
          <w:p>
            <w:pPr>
              <w:pStyle w:val="Compact"/>
            </w:pPr>
            <w:r>
              <w:t xml:space="preserve">MR3</w:t>
            </w:r>
          </w:p>
        </w:tc>
        <w:tc>
          <w:tcPr/>
          <w:p>
            <w:pPr>
              <w:pStyle w:val="Compact"/>
            </w:pPr>
            <w:r>
              <w:t xml:space="preserve">C6, C7</w:t>
            </w:r>
          </w:p>
        </w:tc>
        <w:tc>
          <w:tcPr/>
          <w:p>
            <w:pPr>
              <w:pStyle w:val="Compact"/>
            </w:pPr>
            <w:r>
              <w:t xml:space="preserve">Commitment scheme: 128-bit random salt (crypto/rand), computationally infeasible brute-force (</w:t>
            </w:r>
            <m:oMath>
              <m:sSup>
                <m:e>
                  <m:r>
                    <m:t>2</m:t>
                  </m:r>
                </m:e>
                <m:sup>
                  <m:r>
                    <m:t>128</m:t>
                  </m:r>
                </m:sup>
              </m:sSup>
            </m:oMath>
            <w:r>
              <w:t xml:space="preserve"> </w:t>
            </w:r>
            <w:r>
              <w:t xml:space="preserve">search space). Private data purging: blockToLive=1M (~70 days). Per-asset endorsement via SetStateValidationParameter.</w:t>
            </w:r>
          </w:p>
        </w:tc>
      </w:tr>
      <w:tr>
        <w:tc>
          <w:tcPr/>
          <w:p>
            <w:pPr>
              <w:pStyle w:val="Compact"/>
            </w:pPr>
            <w:r>
              <w:t xml:space="preserve">DP4: Cross-Domain Extensibility</w:t>
            </w:r>
          </w:p>
        </w:tc>
        <w:tc>
          <w:tcPr/>
          <w:p>
            <w:pPr>
              <w:pStyle w:val="Compact"/>
            </w:pPr>
            <w:r>
              <w:t xml:space="preserve">MR4</w:t>
            </w:r>
          </w:p>
        </w:tc>
        <w:tc>
          <w:tcPr/>
          <w:p>
            <w:pPr>
              <w:pStyle w:val="Compact"/>
            </w:pPr>
            <w:r>
              <w:t xml:space="preserve">C5, C8</w:t>
            </w:r>
          </w:p>
        </w:tc>
        <w:tc>
          <w:tcPr/>
          <w:p>
            <w:pPr>
              <w:pStyle w:val="Compact"/>
            </w:pPr>
            <w:r>
              <w:t xml:space="preserve">CEN-EN 16325 validation at write time. Bridge protocol: export/confirm/import state machine. 10 contract namespaces (6→8→10 across v3.0→v5.0→v7.0). Zero cross-domain performance interference.</w:t>
            </w:r>
          </w:p>
        </w:tc>
      </w:tr>
    </w:tbl>
    <w:p>
      <w:pPr>
        <w:pStyle w:val="BodyText"/>
      </w:pPr>
      <w:r>
        <w:rPr>
          <w:b/>
          <w:bCs/>
        </w:rPr>
        <w:t xml:space="preserve">Scalability (DP1).</w:t>
      </w:r>
      <w:r>
        <w:t xml:space="preserve"> </w:t>
      </w:r>
      <w:r>
        <w:t xml:space="preserve">The v7.0 benchmark provides the strongest validation of DP1 to date. With 901 registered devices—30× the v5.0 dataset—paginated queries maintain 10ms latency at 500 TPS, while the deprecated unpaginated</w:t>
      </w:r>
      <w:r>
        <w:t xml:space="preserve"> </w:t>
      </w:r>
      <w:r>
        <w:rPr>
          <w:rStyle w:val="VerbatimChar"/>
        </w:rPr>
        <w:t xml:space="preserve">ListDevices</w:t>
      </w:r>
      <w:r>
        <w:t xml:space="preserve"> </w:t>
      </w:r>
      <w:r>
        <w:t xml:space="preserve">takes 15.33 seconds per call (1,533× difference). At 500 TPS, the unpaginated endpoint fails 80% of transactions due to gateway connection exhaustion. Write throughput has remained at exactly 50 TPS with 100ms latency across v3.0, v5.0, and v7.0—confirming that the addition of CEN-EN validation, state-based endorsement, ECDSA verification functions, bridge records, and oracle data introduces zero measurable overhead. Point reads (</w:t>
      </w:r>
      <w:r>
        <w:rPr>
          <w:rStyle w:val="VerbatimChar"/>
        </w:rPr>
        <w:t xml:space="preserve">GetDevice</w:t>
      </w:r>
      <w:r>
        <w:t xml:space="preserve">,</w:t>
      </w:r>
      <w:r>
        <w:t xml:space="preserve"> </w:t>
      </w:r>
      <w:r>
        <w:rPr>
          <w:rStyle w:val="VerbatimChar"/>
        </w:rPr>
        <w:t xml:space="preserve">GetGridData</w:t>
      </w:r>
      <w:r>
        <w:t xml:space="preserve">,</w:t>
      </w:r>
      <w:r>
        <w:t xml:space="preserve"> </w:t>
      </w:r>
      <w:r>
        <w:rPr>
          <w:rStyle w:val="VerbatimChar"/>
        </w:rPr>
        <w:t xml:space="preserve">GetVersion</w:t>
      </w:r>
      <w:r>
        <w:t xml:space="preserve">) all saturate at 2,000 TPS with sub-10ms latency and 0% failure.</w:t>
      </w:r>
    </w:p>
    <w:p>
      <w:pPr>
        <w:pStyle w:val="BodyText"/>
      </w:pPr>
      <w:r>
        <w:rPr>
          <w:b/>
          <w:bCs/>
        </w:rPr>
        <w:t xml:space="preserve">Verifiability (DP2).</w:t>
      </w:r>
      <w:r>
        <w:t xml:space="preserve"> </w:t>
      </w:r>
      <w:r>
        <w:t xml:space="preserve">v7.0 completes the verifiability stack identified as the critical gap in earlier critiques. IoT device attestation (ADR-027) chains physical meter readings to on-chain records via ECDSA P-256 signatures. The oracle (ADR-029) enables automated cross-referencing of GO production claims against ENTSO-E grid generation data. Combined with the existing commitment scheme (ADR-009/017), tombstone lifecycle tracking (ADR-007), and CQRS events (ADR-016), every GO can be traced from a signed metering device reading through standardized issuance to cross-border transfer. A limitation is that the device attestation path could not be performance-tested due to a trust chain mismatch between the</w:t>
      </w:r>
      <w:r>
        <w:t xml:space="preserve"> </w:t>
      </w:r>
      <w:r>
        <w:rPr>
          <w:rStyle w:val="VerbatimChar"/>
        </w:rPr>
        <w:t xml:space="preserve">cryptogen</w:t>
      </w:r>
      <w:r>
        <w:t xml:space="preserve">-generated peer MSP and Fabric CA-enrolled device identities—an infrastructure constraint specific to the test deployment, not a chaincode defect.</w:t>
      </w:r>
    </w:p>
    <w:p>
      <w:pPr>
        <w:pStyle w:val="BodyText"/>
      </w:pPr>
      <w:r>
        <w:rPr>
          <w:b/>
          <w:bCs/>
        </w:rPr>
        <w:t xml:space="preserve">Privacy (DP3).</w:t>
      </w:r>
      <w:r>
        <w:t xml:space="preserve"> </w:t>
      </w:r>
      <w:r>
        <w:t xml:space="preserve">The upgrade from</w:t>
      </w:r>
      <w:r>
        <w:t xml:space="preserve"> </w:t>
      </w:r>
      <w:r>
        <w:rPr>
          <w:rStyle w:val="VerbatimChar"/>
        </w:rPr>
        <w:t xml:space="preserve">txID</w:t>
      </w:r>
      <w:r>
        <w:t xml:space="preserve">-derived commitment salts to 128-bit</w:t>
      </w:r>
      <w:r>
        <w:t xml:space="preserve"> </w:t>
      </w:r>
      <w:r>
        <w:rPr>
          <w:rStyle w:val="VerbatimChar"/>
        </w:rPr>
        <w:t xml:space="preserve">crypto/rand</w:t>
      </w:r>
      <w:r>
        <w:t xml:space="preserve"> </w:t>
      </w:r>
      <w:r>
        <w:t xml:space="preserve">salts (ADR-017) transforms the commitment scheme from theoretically brute-forceable to computationally secure. State-based endorsement (ADR-019) adds per-asset trust boundaries: even if three of four organizations are compromised, they cannot modify a GO whose endorsement policy requires the honest organization’s signature. The remaining privacy gap is operational: CouchDB runs with default credentials and without encryption at rest—a deployment concern rather than an architectural one, but one that three major versions have not addressed.</w:t>
      </w:r>
    </w:p>
    <w:p>
      <w:pPr>
        <w:pStyle w:val="BodyText"/>
      </w:pPr>
      <w:r>
        <w:rPr>
          <w:b/>
          <w:bCs/>
        </w:rPr>
        <w:t xml:space="preserve">Interoperability (DP4).</w:t>
      </w:r>
      <w:r>
        <w:t xml:space="preserve"> </w:t>
      </w:r>
      <w:r>
        <w:t xml:space="preserve">CEN-EN 16325 field validation (ADR-018) ensures all GOs are structurally export-compatible. The bridge contract (ADR-024) provides the on-chain state machine for cross-registry transfers, mirroring the AIB Hub’s three-phase message flow. The contract namespace architecture has demonstrated clean extensibility: from 6 namespaces (v3.0) to 10 (v7.0), with zero performance regression to existing functionality. The bridge contract remains a record-keeping layer rather than an operational atomic bridge—cross-chain proof verification and hash-time-locked contracts are identified as future work.</w:t>
      </w:r>
    </w:p>
    <w:bookmarkEnd w:id="31"/>
    <w:bookmarkStart w:id="32" w:name="refinements"/>
    <w:p>
      <w:pPr>
        <w:pStyle w:val="Heading3"/>
      </w:pPr>
      <w:r>
        <w:t xml:space="preserve">5.3 Refinements</w:t>
      </w:r>
    </w:p>
    <w:p>
      <w:pPr>
        <w:pStyle w:val="FirstParagraph"/>
      </w:pPr>
      <w:r>
        <w:t xml:space="preserve">The iterative evaluation drove several significant refinements. The v3.0 critique identified 15 architectural gaps; v5.0 addressed 8 through pagination, tombstones, commitments, and multi-carrier support. The v5.0 critique identified 12 remaining gaps; v7.0 addressed 7, including the three most critical (cross-registry bridge, metering oracle, device attestation). Key refinements across cycles include: replacing sequential counters with hash-based IDs (63× write throughput improvement), adding CouchDB rich query indexes (eliminating full-collection scans), introducing private data retention policies (preventing unbounded storage growth), and implementing formal deprecation lifecycle for legacy endpoints (evidence-based: 80% failure rate validates deprecation urgency).</w:t>
      </w:r>
    </w:p>
    <w:p>
      <w:r>
        <w:pict>
          <v:rect style="width:0;height:1.5pt" o:hralign="center" o:hrstd="t" o:hr="t"/>
        </w:pict>
      </w:r>
    </w:p>
    <w:bookmarkEnd w:id="32"/>
    <w:bookmarkEnd w:id="33"/>
    <w:bookmarkStart w:id="37" w:name="discussion"/>
    <w:p>
      <w:pPr>
        <w:pStyle w:val="Heading2"/>
      </w:pPr>
      <w:r>
        <w:t xml:space="preserve">6. Discussion</w:t>
      </w:r>
    </w:p>
    <w:bookmarkStart w:id="34" w:name="discussion-of-findings"/>
    <w:p>
      <w:pPr>
        <w:pStyle w:val="Heading3"/>
      </w:pPr>
      <w:r>
        <w:t xml:space="preserve">6.1 Discussion of Findings</w:t>
      </w:r>
    </w:p>
    <w:p>
      <w:pPr>
        <w:pStyle w:val="FirstParagraph"/>
      </w:pPr>
      <w:r>
        <w:t xml:space="preserve">Our four design principles contribute to an emerging design theory for blockchain-based energy certificate systems. We situate each DP in relation to the existing literature, highlighting where our findings confirm, extend, or challenge prior work.</w:t>
      </w:r>
    </w:p>
    <w:p>
      <w:pPr>
        <w:pStyle w:val="BodyText"/>
      </w:pPr>
      <w:r>
        <w:rPr>
          <w:b/>
          <w:bCs/>
        </w:rPr>
        <w:t xml:space="preserve">DP1 (Contention-Free Scalability)</w:t>
      </w:r>
      <w:r>
        <w:t xml:space="preserve"> </w:t>
      </w:r>
      <w:r>
        <w:t xml:space="preserve">validates and extends the finding of prior HLF performance studies that endorsement-based consensus creates serialization bottlenecks for shared-state writes (Thakkar et al. 2018). Our hash-based ID generation mechanism demonstrates that this bottleneck can be entirely eliminated at the application layer without modifying Fabric’s consensus protocol—a practical contribution applicable to any HLF-based asset management system beyond GO registries. The 63× throughput improvement from a single design change (sequential counter → hash-based IDs) underscores the importance of understanding the interaction between application-level data model design and platform-level consensus mechanisms. This finding resonates with Androulaki et al.’s (2018) observation that Fabric’s execute-order-validate architecture places data model design responsibility squarely on the application developer.</w:t>
      </w:r>
    </w:p>
    <w:p>
      <w:pPr>
        <w:pStyle w:val="BodyText"/>
      </w:pPr>
      <w:r>
        <w:rPr>
          <w:b/>
          <w:bCs/>
        </w:rPr>
        <w:t xml:space="preserve">DP2 (Layered Verifiability)</w:t>
      </w:r>
      <w:r>
        <w:t xml:space="preserve"> </w:t>
      </w:r>
      <w:r>
        <w:t xml:space="preserve">extends the Green IS literature on DLT-based energy tracing systems (Sedlmeir et al. 2021) by demonstrating that verifiability is not a binary property of</w:t>
      </w:r>
      <w:r>
        <w:t xml:space="preserve"> </w:t>
      </w:r>
      <w:r>
        <w:t xml:space="preserve">“on-chain vs. off-chain”</w:t>
      </w:r>
      <w:r>
        <w:t xml:space="preserve"> </w:t>
      </w:r>
      <w:r>
        <w:t xml:space="preserve">but a multi-layered construct requiring explicit architectural composition. Our five-layer verifiability stack (device attestation → field validation → commitment scheme → lifecycle tracking → oracle cross-referencing) provides graduated trust levels: even if one layer fails (e.g., the oracle publishes incorrect grid data), the remaining layers maintain partial verifiability. This graduated approach contrasts with the all-or-nothing trust model common in public blockchain systems and is perhaps the most novel architectural insight from the seven-cycle iteration process, as the stack was constructed incrementally across v3.0 (commitments, tombstones), v5.0 (CQRS events), v6.0 (CEN validation), and v7.0 (device attestation, oracle). No single design cycle could have anticipated the full stack.</w:t>
      </w:r>
    </w:p>
    <w:p>
      <w:pPr>
        <w:pStyle w:val="BodyText"/>
      </w:pPr>
      <w:r>
        <w:rPr>
          <w:b/>
          <w:bCs/>
        </w:rPr>
        <w:t xml:space="preserve">DP3 (Confidentiality Through Selective Disclosure)</w:t>
      </w:r>
      <w:r>
        <w:t xml:space="preserve"> </w:t>
      </w:r>
      <w:r>
        <w:t xml:space="preserve">offers a more nuanced privacy model than the</w:t>
      </w:r>
      <w:r>
        <w:t xml:space="preserve"> </w:t>
      </w:r>
      <w:r>
        <w:t xml:space="preserve">“all public”</w:t>
      </w:r>
      <w:r>
        <w:t xml:space="preserve"> </w:t>
      </w:r>
      <w:r>
        <w:t xml:space="preserve">vs. </w:t>
      </w:r>
      <w:r>
        <w:t xml:space="preserve">“all private”</w:t>
      </w:r>
      <w:r>
        <w:t xml:space="preserve"> </w:t>
      </w:r>
      <w:r>
        <w:t xml:space="preserve">dichotomy common in blockchain literature. The combination of public commitments, private data collections, per-asset endorsement, and automatic purging demonstrates that Fabric’s architectural primitives can implement a sophisticated privacy lifecycle—from issuance-time commitment through audit-period access to automatic data destruction after the retention period expires. This lifecycle approach addresses the tension between GDPR data minimization requirements and the append-only nature of blockchain storage that has been flagged as a fundamental concern by Finck (2018) and others.</w:t>
      </w:r>
    </w:p>
    <w:p>
      <w:pPr>
        <w:pStyle w:val="BodyText"/>
      </w:pPr>
      <w:r>
        <w:rPr>
          <w:b/>
          <w:bCs/>
        </w:rPr>
        <w:t xml:space="preserve">DP4 (Cross-Domain Extensibility)</w:t>
      </w:r>
      <w:r>
        <w:t xml:space="preserve"> </w:t>
      </w:r>
      <w:r>
        <w:t xml:space="preserve">directly addresses the research gap identified in this paper: how to design for interoperability across GO schemes that do not yet exist. By validating CEN-EN 16325 at write time and implementing a bridge protocol state machine, the architecture is positioned for future carriers (thermal energy, renewable fuels of non-biological origin) without requiring retroactive data transformation. The clean extensibility from 6 to 10 contract namespaces across four versions, with zero performance regression to existing functionality, provides empirical evidence that the namespace pattern supports non-disruptive evolution—addressing a well-documented concern in the literature about the rigidity of deployed blockchain applications.</w:t>
      </w:r>
    </w:p>
    <w:bookmarkEnd w:id="34"/>
    <w:bookmarkStart w:id="35" w:name="theoretical-contribution"/>
    <w:p>
      <w:pPr>
        <w:pStyle w:val="Heading3"/>
      </w:pPr>
      <w:r>
        <w:t xml:space="preserve">6.2 Theoretical Contribution</w:t>
      </w:r>
    </w:p>
    <w:p>
      <w:pPr>
        <w:pStyle w:val="FirstParagraph"/>
      </w:pPr>
      <w:r>
        <w:t xml:space="preserve">This work contributes a nascent design theory (Gregor and Hevner 2013) for DLT-based energy certificate platforms, positioned at Level 2 (Nascent Design Theory) of Gregor and Hevner’s knowledge contribution framework: an improvement to a known problem with new solutions. The four design principles, formulated using the Gregor et al. (2020) anatomy, satisfy three criteria for theoretical design knowledge: (1)</w:t>
      </w:r>
      <w:r>
        <w:t xml:space="preserve"> </w:t>
      </w:r>
      <w:r>
        <w:rPr>
          <w:i/>
          <w:iCs/>
        </w:rPr>
        <w:t xml:space="preserve">separability from the specific artifact</w:t>
      </w:r>
      <w:r>
        <w:t xml:space="preserve">—DP1’s hash-based ID generation applies to any HLF asset system, not only GO registries; DP3’s public commitment / private collection pattern applies to any multi-party system requiring selective disclosure; DP4’s standards-aware write-time validation applies to any domain with authoritative data standards; (2)</w:t>
      </w:r>
      <w:r>
        <w:t xml:space="preserve"> </w:t>
      </w:r>
      <w:r>
        <w:rPr>
          <w:i/>
          <w:iCs/>
        </w:rPr>
        <w:t xml:space="preserve">empirically grounded</w:t>
      </w:r>
      <w:r>
        <w:t xml:space="preserve">—each DP is validated through 28-round Caliper benchmarks with measurable throughput, latency, and failure rate evidence across three major versions (v3.0, v5.0, v7.0); (3)</w:t>
      </w:r>
      <w:r>
        <w:t xml:space="preserve"> </w:t>
      </w:r>
      <w:r>
        <w:rPr>
          <w:i/>
          <w:iCs/>
        </w:rPr>
        <w:t xml:space="preserve">prescriptive</w:t>
      </w:r>
      <w:r>
        <w:t xml:space="preserve">—each DP specifies mechanism and rationale, not merely desired outcomes, enabling other researchers and practitioners to apply them in new contexts.</w:t>
      </w:r>
    </w:p>
    <w:p>
      <w:pPr>
        <w:pStyle w:val="BodyText"/>
      </w:pPr>
      <w:r>
        <w:t xml:space="preserve">The DPs extend Sedlmeir et al.’s (2021) assessment of blockchain suitability for energy certification by moving from</w:t>
      </w:r>
      <w:r>
        <w:t xml:space="preserve"> </w:t>
      </w:r>
      <w:r>
        <w:t xml:space="preserve">“DLT is suitable”</w:t>
      </w:r>
      <w:r>
        <w:t xml:space="preserve"> </w:t>
      </w:r>
      <w:r>
        <w:t xml:space="preserve">(suitability assessment) to</w:t>
      </w:r>
      <w:r>
        <w:t xml:space="preserve"> </w:t>
      </w:r>
      <w:r>
        <w:t xml:space="preserve">“DLT should be architected this way”</w:t>
      </w:r>
      <w:r>
        <w:t xml:space="preserve"> </w:t>
      </w:r>
      <w:r>
        <w:t xml:space="preserve">(design guidance). They address the gap identified by Ølnes et al. (2022) that existing prototypes lack production-scale evaluation by providing seven-cycle iterative development with quantitative benchmarks at each cycle. The ADR-based design cycle methodology itself is a methodological contribution, demonstrating how lightweight architectural documentation practices from software engineering can be integrated into DSR’s build-evaluate cycle to provide decision traceability.</w:t>
      </w:r>
    </w:p>
    <w:p>
      <w:pPr>
        <w:pStyle w:val="BodyText"/>
      </w:pPr>
      <w:r>
        <w:t xml:space="preserve">The data duplication analysis contributes a quantitative framework for assessing the storage and compute overhead inherent in permissioned blockchain architectures. At 8.8× per-asset storage overhead compared to centralized systems (due to N-peer replication across 4 organizations, CouchDB indexing overhead, block journal storage, and transaction envelope metadata), the architecture imposes non-trivial infrastructure costs. For a sharded EU-wide deployment (27 national channels, one per member state), per-peer storage is estimated at 725 GB/year for a market processing 500 million GOs annually—within commodity hardware bounds but requiring explicit capacity planning. This quantification enables practitioners to make informed build-vs-buy decisions when evaluating DLT against centralized GO registry architectures, a decision support contribution absent from the existing literature.</w:t>
      </w:r>
    </w:p>
    <w:bookmarkEnd w:id="35"/>
    <w:bookmarkStart w:id="36" w:name="practical-implications"/>
    <w:p>
      <w:pPr>
        <w:pStyle w:val="Heading3"/>
      </w:pPr>
      <w:r>
        <w:t xml:space="preserve">6.3 Practical Implications</w:t>
      </w:r>
    </w:p>
    <w:p>
      <w:pPr>
        <w:pStyle w:val="FirstParagraph"/>
      </w:pPr>
      <w:r>
        <w:t xml:space="preserve">For GO registry operators and energy regulators considering DLT-based architectures for cross-carrier interoperability, our findings provide four actionable insights:</w:t>
      </w:r>
    </w:p>
    <w:p>
      <w:pPr>
        <w:pStyle w:val="BodyText"/>
      </w:pPr>
      <w:r>
        <w:t xml:space="preserve">First,</w:t>
      </w:r>
      <w:r>
        <w:t xml:space="preserve"> </w:t>
      </w:r>
      <w:r>
        <w:rPr>
          <w:b/>
          <w:bCs/>
        </w:rPr>
        <w:t xml:space="preserve">permissioned DLT can sustain national GO market throughput</w:t>
      </w:r>
      <w:r>
        <w:t xml:space="preserve">. The demonstrated 50 TPS write ceiling and 2,000 TPS read ceiling, maintained across seven versions with zero regression, exceeds the hourly throughput of current European GO registries where issuance and transfer operations are batch-processed on daily or weekly schedules. A single national registry typically processes 10–50 million GOs per year, well within the demonstrated throughput. However, peak-hour IoT integration scenarios (thousands of meters reporting concurrently at 15-minute intervals) require infrastructure-level optimizations (Fabric BatchTimeout tuning, gateway concurrency scaling, peer resource allocation) that were not tested in this study.</w:t>
      </w:r>
    </w:p>
    <w:p>
      <w:pPr>
        <w:pStyle w:val="BodyText"/>
      </w:pPr>
      <w:r>
        <w:t xml:space="preserve">Second,</w:t>
      </w:r>
      <w:r>
        <w:t xml:space="preserve"> </w:t>
      </w:r>
      <w:r>
        <w:rPr>
          <w:b/>
          <w:bCs/>
        </w:rPr>
        <w:t xml:space="preserve">privacy and verifiability are achievable simultaneously</w:t>
      </w:r>
      <w:r>
        <w:t xml:space="preserve">, but the balance requires careful architectural design rather than merely</w:t>
      </w:r>
      <w:r>
        <w:t xml:space="preserve"> </w:t>
      </w:r>
      <w:r>
        <w:t xml:space="preserve">“putting data on the blockchain.”</w:t>
      </w:r>
      <w:r>
        <w:t xml:space="preserve"> </w:t>
      </w:r>
      <w:r>
        <w:t xml:space="preserve">The public commitment / private collection pattern enables selective disclosure without full transparency—a model that aligns with GDPR Article 32 requirements for data minimization while preserving the audit capabilities mandated by RED III. Registry operators should implement the public/private split at the data model level, not as an afterthought.</w:t>
      </w:r>
    </w:p>
    <w:p>
      <w:pPr>
        <w:pStyle w:val="BodyText"/>
      </w:pPr>
      <w:r>
        <w:t xml:space="preserve">Third,</w:t>
      </w:r>
      <w:r>
        <w:t xml:space="preserve"> </w:t>
      </w:r>
      <w:r>
        <w:rPr>
          <w:b/>
          <w:bCs/>
        </w:rPr>
        <w:t xml:space="preserve">cross-carrier interoperability should be designed around standards compliance, not custom protocols</w:t>
      </w:r>
      <w:r>
        <w:t xml:space="preserve">. The CEN-EN 16325 validation-at-write-time approach ensures that all GOs are structurally export-ready without requiring post-hoc data transformation for cross-border or cross-carrier transfers. Organizations implementing cross-carrier GO platforms should validate against CEN-EN 16325 field specifications before writing to the ledger, implement a bridge protocol state machine for cross-registry transfers, and plan for multi-channel sharding when scaling beyond a single national pilot.</w:t>
      </w:r>
    </w:p>
    <w:p>
      <w:pPr>
        <w:pStyle w:val="BodyText"/>
      </w:pPr>
      <w:r>
        <w:t xml:space="preserve">Fourth,</w:t>
      </w:r>
      <w:r>
        <w:t xml:space="preserve"> </w:t>
      </w:r>
      <w:r>
        <w:rPr>
          <w:b/>
          <w:bCs/>
        </w:rPr>
        <w:t xml:space="preserve">the storage overhead of DLT is manageable but non-trivial</w:t>
      </w:r>
      <w:r>
        <w:t xml:space="preserve">. At 8.8× per-asset overhead, a DLT-based registry requires approximately one order of magnitude more storage than a centralized database for the same data. This cost is justified by the multi-party trust, auditability, and resilience benefits of DLT, but must be explicitly factored into infrastructure planning and total cost of ownership analyses.</w:t>
      </w:r>
    </w:p>
    <w:p>
      <w:r>
        <w:pict>
          <v:rect style="width:0;height:1.5pt" o:hralign="center" o:hrstd="t" o:hr="t"/>
        </w:pict>
      </w:r>
    </w:p>
    <w:bookmarkEnd w:id="36"/>
    <w:bookmarkEnd w:id="37"/>
    <w:bookmarkStart w:id="41" w:name="conclusion"/>
    <w:p>
      <w:pPr>
        <w:pStyle w:val="Heading2"/>
      </w:pPr>
      <w:r>
        <w:t xml:space="preserve">7. Conclusion</w:t>
      </w:r>
    </w:p>
    <w:bookmarkStart w:id="38" w:name="summary"/>
    <w:p>
      <w:pPr>
        <w:pStyle w:val="Heading3"/>
      </w:pPr>
      <w:r>
        <w:t xml:space="preserve">7.1 Summary</w:t>
      </w:r>
    </w:p>
    <w:p>
      <w:pPr>
        <w:pStyle w:val="FirstParagraph"/>
      </w:pPr>
      <w:r>
        <w:t xml:space="preserve">This paper addressed the research question of how to design an information system for interoperable GO schemes enabling cross-domain data sharing and asset transfer for energy carrier conversion in multi-carrier energy systems. Following the DSR methodology (Peffers et al. 2007) within the framework of Hevner et al. (2004), we derived four design principles—Contention-Free Scalability (DP1), Layered Verifiability (DP2), Confidentiality Through Selective Disclosure (DP3), and Standards-Aligned Cross-Domain Extensibility (DP4)—from a multi-vocal literature review identifying eight challenges of cross-carrier GO interoperability, validated through iterative prototyping and systematic architecture critiques. These DPs were formulated using the Gregor et al. (2020) design principle anatomy schema and instantiated in a Hyperledger Fabric v7.0 prototype featuring 10 smart contract namespaces, approximately 50 exported functions, and 29 architectural decision records across seven iterative design cycles. Caliper benchmarks on a production-grade deployment demonstrated sustained 50 TPS write throughput with 100% success rate, 2,000 TPS read throughput with sub-10ms latency, and zero performance regression across seven major versions. The DPs constitute a nascent design theory (Gregor and Hevner 2013) for DLT-based energy certificate platforms, contributing prescriptive design knowledge that extends beyond the specific HLF instantiation.</w:t>
      </w:r>
    </w:p>
    <w:bookmarkEnd w:id="38"/>
    <w:bookmarkStart w:id="39" w:name="limitations"/>
    <w:p>
      <w:pPr>
        <w:pStyle w:val="Heading3"/>
      </w:pPr>
      <w:r>
        <w:t xml:space="preserve">7.2 Limitations</w:t>
      </w:r>
    </w:p>
    <w:p>
      <w:pPr>
        <w:pStyle w:val="FirstParagraph"/>
      </w:pPr>
      <w:r>
        <w:t xml:space="preserve">Several limitations constrain the generalizability of our findings. First, all benchmarks were conducted on a single VM deployment where inter-peer network latency is negligible (sub-millisecond). A geographically distributed deployment across multiple EU data centers would add 5–20ms per endorsement round-trip, potentially reducing the 50 TPS write ceiling—though the magnitude of this effect cannot be estimated without empirical measurement. Second, the IoT device attestation path (ADR-027) could not be performance-tested due to a trust chain mismatch between the</w:t>
      </w:r>
      <w:r>
        <w:t xml:space="preserve"> </w:t>
      </w:r>
      <w:r>
        <w:rPr>
          <w:rStyle w:val="VerbatimChar"/>
        </w:rPr>
        <w:t xml:space="preserve">cryptogen</w:t>
      </w:r>
      <w:r>
        <w:t xml:space="preserve">-generated peer MSP material and Fabric CA-enrolled device identities. This is a deployment infrastructure choice rather than an architectural limitation, but it means that the ECDSA P-256 verification throughput at scale remains unmeasured. Third, the bridge contract implements record-keeping for cross-registry transfers but does not provide atomic cross-chain guarantees—no hash-time-locked contracts (HTLCs) or simplified payment verification (SPV) proofs are implemented, meaning the bridge relies on organizational trust between registries rather than cryptographic enforcement. Fourth, the design principles were evaluated through technical benchmarks and architecture critiques rather than organizational adoption studies; the social, institutional, and political factors of DLT adoption in regulated energy markets (Fridgen et al. 2021) are beyond the scope of this technical DSR contribution.</w:t>
      </w:r>
    </w:p>
    <w:bookmarkEnd w:id="39"/>
    <w:bookmarkStart w:id="40" w:name="future-research"/>
    <w:p>
      <w:pPr>
        <w:pStyle w:val="Heading3"/>
      </w:pPr>
      <w:r>
        <w:t xml:space="preserve">7.3 Future Research</w:t>
      </w:r>
    </w:p>
    <w:p>
      <w:pPr>
        <w:pStyle w:val="FirstParagraph"/>
      </w:pPr>
      <w:r>
        <w:t xml:space="preserve">Three directions for future research emerge from this work. First,</w:t>
      </w:r>
      <w:r>
        <w:t xml:space="preserve"> </w:t>
      </w:r>
      <w:r>
        <w:rPr>
          <w:b/>
          <w:bCs/>
        </w:rPr>
        <w:t xml:space="preserve">distributed deployment evaluation</w:t>
      </w:r>
      <w:r>
        <w:t xml:space="preserve">: benchmarking the prototype across geographically separated virtual machines in different EU data centers to quantify the impact of network latency on endorsement-based consensus throughput. This would validate whether the 50 TPS write ceiling holds under realistic cross-border deployment conditions and identify the latency threshold at which Raft consensus becomes a bottleneck. Second,</w:t>
      </w:r>
      <w:r>
        <w:t xml:space="preserve"> </w:t>
      </w:r>
      <w:r>
        <w:rPr>
          <w:b/>
          <w:bCs/>
        </w:rPr>
        <w:t xml:space="preserve">multi-channel sharding implementation</w:t>
      </w:r>
      <w:r>
        <w:t xml:space="preserve">: the conceptual 27-channel EU sharding design described in our data duplication analysis requires empirical validation—channel creation overhead, cross-channel bridge relay latency, per-channel governance models, and the interaction between channel isolation and cross-carrier conversion issuance are open engineering and research questions. Third,</w:t>
      </w:r>
      <w:r>
        <w:t xml:space="preserve"> </w:t>
      </w:r>
      <w:r>
        <w:rPr>
          <w:b/>
          <w:bCs/>
        </w:rPr>
        <w:t xml:space="preserve">organizational adoption studies</w:t>
      </w:r>
      <w:r>
        <w:t xml:space="preserve">: investigating how GO registry operators, national energy regulators, and market participants evaluate the trade-offs between DLT-based and incumbent centralized architectures, using the four design principles as a structured comparison framework. This would complement the technical evaluation with institutional and behavioral perspectives. Additionally, the design principles should be validated through instantiation on alternative blockchain platforms (e.g., R3 Corda for financial settlement semantics, Ethereum Layer 2 for public verifiability with scalable execution) to assess their generalizability beyond Hyperledger Fabric.</w:t>
      </w:r>
    </w:p>
    <w:p>
      <w:r>
        <w:pict>
          <v:rect style="width:0;height:1.5pt" o:hralign="center" o:hrstd="t" o:hr="t"/>
        </w:pict>
      </w:r>
    </w:p>
    <w:bookmarkEnd w:id="40"/>
    <w:bookmarkEnd w:id="41"/>
    <w:bookmarkStart w:id="42" w:name="references"/>
    <w:p>
      <w:pPr>
        <w:pStyle w:val="Heading2"/>
      </w:pPr>
      <w:r>
        <w:t xml:space="preserve">References</w:t>
      </w:r>
    </w:p>
    <w:p>
      <w:pPr>
        <w:pStyle w:val="FirstParagraph"/>
      </w:pPr>
      <w:r>
        <w:t xml:space="preserve">Albrecht, J. (2024). All Carriers Allowed: The Role of Distributed Ledger Technology for Cross-Domain Data Sharing Between Guarantee of Origin Schemes. Master Thesis, University of Bayreuth.</w:t>
      </w:r>
    </w:p>
    <w:p>
      <w:pPr>
        <w:pStyle w:val="BodyText"/>
      </w:pPr>
      <w:r>
        <w:t xml:space="preserve">Albrecht, S., Reichert, S., Schmid, J., Strüker, J., Neumann, D., &amp; Fridgen, G. (2018). Dynamics of Blockchain Implementation – A Case Study from the Energy Sector. In</w:t>
      </w:r>
      <w:r>
        <w:t xml:space="preserve"> </w:t>
      </w:r>
      <w:r>
        <w:rPr>
          <w:i/>
          <w:iCs/>
        </w:rPr>
        <w:t xml:space="preserve">Proceedings of the 51st Hawaii International Conference on System Sciences (HICSS)</w:t>
      </w:r>
      <w:r>
        <w:t xml:space="preserve">.</w:t>
      </w:r>
    </w:p>
    <w:p>
      <w:pPr>
        <w:pStyle w:val="BodyText"/>
      </w:pPr>
      <w:r>
        <w:t xml:space="preserve">Al Sadawi, A., Hassan, M. S., &amp; Ndiaye, M. (2021). A Survey on the Integration of Blockchain With IoT to Enhance Performance and Eliminate Challenges.</w:t>
      </w:r>
      <w:r>
        <w:t xml:space="preserve"> </w:t>
      </w:r>
      <w:r>
        <w:rPr>
          <w:i/>
          <w:iCs/>
        </w:rPr>
        <w:t xml:space="preserve">IEEE Access</w:t>
      </w:r>
      <w:r>
        <w:t xml:space="preserve">, 9, 54478–54497.</w:t>
      </w:r>
    </w:p>
    <w:p>
      <w:pPr>
        <w:pStyle w:val="BodyText"/>
      </w:pPr>
      <w:r>
        <w:t xml:space="preserve">Androulaki, E., Barger, A., Bortnikov, V., Cachin, C., Christidis, K., De Caro, A., et al. (2018). Hyperledger Fabric: A Distributed Operating System for Permissioned Blockchains. In</w:t>
      </w:r>
      <w:r>
        <w:t xml:space="preserve"> </w:t>
      </w:r>
      <w:r>
        <w:rPr>
          <w:i/>
          <w:iCs/>
        </w:rPr>
        <w:t xml:space="preserve">EuroSys ’18</w:t>
      </w:r>
      <w:r>
        <w:t xml:space="preserve">.</w:t>
      </w:r>
    </w:p>
    <w:p>
      <w:pPr>
        <w:pStyle w:val="BodyText"/>
      </w:pPr>
      <w:r>
        <w:t xml:space="preserve">Association of Issuing Bodies (2023). AIB Annual Report 2023. AIB.</w:t>
      </w:r>
    </w:p>
    <w:p>
      <w:pPr>
        <w:pStyle w:val="BodyText"/>
      </w:pPr>
      <w:r>
        <w:t xml:space="preserve">Bogensperger, A., &amp; Zeiselmair, A. (2020). Blockchain-basierter Herkunftsnachweis.</w:t>
      </w:r>
      <w:r>
        <w:t xml:space="preserve"> </w:t>
      </w:r>
      <w:r>
        <w:rPr>
          <w:i/>
          <w:iCs/>
        </w:rPr>
        <w:t xml:space="preserve">FfE München</w:t>
      </w:r>
      <w:r>
        <w:t xml:space="preserve">.</w:t>
      </w:r>
    </w:p>
    <w:p>
      <w:pPr>
        <w:pStyle w:val="BodyText"/>
      </w:pPr>
      <w:r>
        <w:t xml:space="preserve">Brown, T., Schlachtberger, D., Kies, A., Schramm, S., &amp; Greiner, M. (2018). Synergies of Sector Coupling and Transmission Reinforcement in a Cost-Optimised, Highly Renewable European Energy System.</w:t>
      </w:r>
      <w:r>
        <w:t xml:space="preserve"> </w:t>
      </w:r>
      <w:r>
        <w:rPr>
          <w:i/>
          <w:iCs/>
        </w:rPr>
        <w:t xml:space="preserve">Energy</w:t>
      </w:r>
      <w:r>
        <w:t xml:space="preserve">, 160, 720–739.</w:t>
      </w:r>
    </w:p>
    <w:p>
      <w:pPr>
        <w:pStyle w:val="BodyText"/>
      </w:pPr>
      <w:r>
        <w:t xml:space="preserve">Chuang, Y.-C., Lin, S.-Y., &amp; Cheng, W.-H. (2019). A Blockchain-based Renewable Energy Certificate Trading System. In</w:t>
      </w:r>
      <w:r>
        <w:t xml:space="preserve"> </w:t>
      </w:r>
      <w:r>
        <w:rPr>
          <w:i/>
          <w:iCs/>
        </w:rPr>
        <w:t xml:space="preserve">IEEE International Conference on Blockchain</w:t>
      </w:r>
      <w:r>
        <w:t xml:space="preserve">.</w:t>
      </w:r>
    </w:p>
    <w:p>
      <w:pPr>
        <w:pStyle w:val="BodyText"/>
      </w:pPr>
      <w:r>
        <w:t xml:space="preserve">Finck, M. (2018). Blockchains and Data Protection in the European Union.</w:t>
      </w:r>
      <w:r>
        <w:t xml:space="preserve"> </w:t>
      </w:r>
      <w:r>
        <w:rPr>
          <w:i/>
          <w:iCs/>
        </w:rPr>
        <w:t xml:space="preserve">European Data Protection Law Review</w:t>
      </w:r>
      <w:r>
        <w:t xml:space="preserve">, 4(1), 17–35.</w:t>
      </w:r>
    </w:p>
    <w:p>
      <w:pPr>
        <w:pStyle w:val="BodyText"/>
      </w:pPr>
      <w:r>
        <w:t xml:space="preserve">Fridgen, G., Keller, R., Körner, M.-F., &amp; Schöpf, M. (2020). A Holistic View on Sector Coupling.</w:t>
      </w:r>
      <w:r>
        <w:t xml:space="preserve"> </w:t>
      </w:r>
      <w:r>
        <w:rPr>
          <w:i/>
          <w:iCs/>
        </w:rPr>
        <w:t xml:space="preserve">Energy Policy</w:t>
      </w:r>
      <w:r>
        <w:t xml:space="preserve">, 147, 111913.</w:t>
      </w:r>
    </w:p>
    <w:p>
      <w:pPr>
        <w:pStyle w:val="BodyText"/>
      </w:pPr>
      <w:r>
        <w:t xml:space="preserve">Fridgen, G., Regner, F., Schweizer, A., &amp; Urbach, N. (2021). Don’t Slip on the ICO — A Taxonomy for a Blockchain-Enabled Form of Crowdfunding. In</w:t>
      </w:r>
      <w:r>
        <w:t xml:space="preserve"> </w:t>
      </w:r>
      <w:r>
        <w:rPr>
          <w:i/>
          <w:iCs/>
        </w:rPr>
        <w:t xml:space="preserve">Business Transformation through Blockchain</w:t>
      </w:r>
      <w:r>
        <w:t xml:space="preserve">, Springer.</w:t>
      </w:r>
    </w:p>
    <w:p>
      <w:pPr>
        <w:pStyle w:val="BodyText"/>
      </w:pPr>
      <w:r>
        <w:t xml:space="preserve">Gioia, D. A., Corley, K. G., &amp; Hamilton, A. L. (2013). Seeking Qualitative Rigor in Inductive Research.</w:t>
      </w:r>
      <w:r>
        <w:t xml:space="preserve"> </w:t>
      </w:r>
      <w:r>
        <w:rPr>
          <w:i/>
          <w:iCs/>
        </w:rPr>
        <w:t xml:space="preserve">Organizational Research Methods</w:t>
      </w:r>
      <w:r>
        <w:t xml:space="preserve">, 16(1), 15–31.</w:t>
      </w:r>
    </w:p>
    <w:p>
      <w:pPr>
        <w:pStyle w:val="BodyText"/>
      </w:pPr>
      <w:r>
        <w:t xml:space="preserve">Gramlich, V., Guggenberger, T., Principato, M., Schellinger, B., &amp; Urbach, N. (2023). A Multivocal Literature Review of Decentralized Finance.</w:t>
      </w:r>
      <w:r>
        <w:t xml:space="preserve"> </w:t>
      </w:r>
      <w:r>
        <w:rPr>
          <w:i/>
          <w:iCs/>
        </w:rPr>
        <w:t xml:space="preserve">Electronic Markets</w:t>
      </w:r>
      <w:r>
        <w:t xml:space="preserve">, 33, 57.</w:t>
      </w:r>
    </w:p>
    <w:p>
      <w:pPr>
        <w:pStyle w:val="BodyText"/>
      </w:pPr>
      <w:r>
        <w:t xml:space="preserve">Gregor, S., &amp; Hevner, A. R. (2013). Positioning and Presenting Design Science Research for Maximum Impact.</w:t>
      </w:r>
      <w:r>
        <w:t xml:space="preserve"> </w:t>
      </w:r>
      <w:r>
        <w:rPr>
          <w:i/>
          <w:iCs/>
        </w:rPr>
        <w:t xml:space="preserve">MIS Quarterly</w:t>
      </w:r>
      <w:r>
        <w:t xml:space="preserve">, 37(2), 337–355.</w:t>
      </w:r>
    </w:p>
    <w:p>
      <w:pPr>
        <w:pStyle w:val="BodyText"/>
      </w:pPr>
      <w:r>
        <w:t xml:space="preserve">Gregor, S., Kruse, L., &amp; Seidel, S. (2020). The Anatomy of a Design Principle.</w:t>
      </w:r>
      <w:r>
        <w:t xml:space="preserve"> </w:t>
      </w:r>
      <w:r>
        <w:rPr>
          <w:i/>
          <w:iCs/>
        </w:rPr>
        <w:t xml:space="preserve">Journal of the Association for Information Systems</w:t>
      </w:r>
      <w:r>
        <w:t xml:space="preserve">, 21(6), 1622–1652.</w:t>
      </w:r>
    </w:p>
    <w:p>
      <w:pPr>
        <w:pStyle w:val="BodyText"/>
      </w:pPr>
      <w:r>
        <w:t xml:space="preserve">Heffron, R., Körner, M.-F., Wagner, J., Weibelzahl, M., &amp; Fridgen, G. (2020). Industrial Demand-Side Flexibility: A Key Element of a Just Energy Transition and Industrial Development.</w:t>
      </w:r>
      <w:r>
        <w:t xml:space="preserve"> </w:t>
      </w:r>
      <w:r>
        <w:rPr>
          <w:i/>
          <w:iCs/>
        </w:rPr>
        <w:t xml:space="preserve">Applied Energy</w:t>
      </w:r>
      <w:r>
        <w:t xml:space="preserve">, 269, 115026.</w:t>
      </w:r>
    </w:p>
    <w:p>
      <w:pPr>
        <w:pStyle w:val="BodyText"/>
      </w:pPr>
      <w:r>
        <w:t xml:space="preserve">Hevner, A. R. (2007). A Three Cycle View of Design Science Research.</w:t>
      </w:r>
      <w:r>
        <w:t xml:space="preserve"> </w:t>
      </w:r>
      <w:r>
        <w:rPr>
          <w:i/>
          <w:iCs/>
        </w:rPr>
        <w:t xml:space="preserve">Scandinavian Journal of Information Systems</w:t>
      </w:r>
      <w:r>
        <w:t xml:space="preserve">, 19(2), 87–92.</w:t>
      </w:r>
    </w:p>
    <w:p>
      <w:pPr>
        <w:pStyle w:val="BodyText"/>
      </w:pPr>
      <w:r>
        <w:t xml:space="preserve">Hevner, A. R., March, S. T., Park, J., &amp; Ram, S. (2004). Design Science in Information Systems Research.</w:t>
      </w:r>
      <w:r>
        <w:t xml:space="preserve"> </w:t>
      </w:r>
      <w:r>
        <w:rPr>
          <w:i/>
          <w:iCs/>
        </w:rPr>
        <w:t xml:space="preserve">MIS Quarterly</w:t>
      </w:r>
      <w:r>
        <w:t xml:space="preserve">, 28(1), 75–105.</w:t>
      </w:r>
    </w:p>
    <w:p>
      <w:pPr>
        <w:pStyle w:val="BodyText"/>
      </w:pPr>
      <w:r>
        <w:t xml:space="preserve">Hulshof, D., Jepma, C., &amp; Mulder, M. (2019). Performance of Markets for European Renewable Energy Certificates.</w:t>
      </w:r>
      <w:r>
        <w:t xml:space="preserve"> </w:t>
      </w:r>
      <w:r>
        <w:rPr>
          <w:i/>
          <w:iCs/>
        </w:rPr>
        <w:t xml:space="preserve">Energy Policy</w:t>
      </w:r>
      <w:r>
        <w:t xml:space="preserve">, 128, 697–710.</w:t>
      </w:r>
    </w:p>
    <w:p>
      <w:pPr>
        <w:pStyle w:val="BodyText"/>
      </w:pPr>
      <w:r>
        <w:t xml:space="preserve">Iivari, J., Hansen, M. R. P., &amp; Haj-Bolouri, A. (2021). A Proposal for Minimum Reusability Evaluation of Design Principles.</w:t>
      </w:r>
      <w:r>
        <w:t xml:space="preserve"> </w:t>
      </w:r>
      <w:r>
        <w:rPr>
          <w:i/>
          <w:iCs/>
        </w:rPr>
        <w:t xml:space="preserve">European Journal of Information Systems</w:t>
      </w:r>
      <w:r>
        <w:t xml:space="preserve">, 30(3), 286–303.</w:t>
      </w:r>
    </w:p>
    <w:p>
      <w:pPr>
        <w:pStyle w:val="BodyText"/>
      </w:pPr>
      <w:r>
        <w:t xml:space="preserve">Knirsch, F., Unterweger, A., &amp; Engel, D. (2018). Privacy-Preserving Blockchain-Based Electric Vehicle Charging with Dynamic Tariff Decisions.</w:t>
      </w:r>
      <w:r>
        <w:t xml:space="preserve"> </w:t>
      </w:r>
      <w:r>
        <w:rPr>
          <w:i/>
          <w:iCs/>
        </w:rPr>
        <w:t xml:space="preserve">Computer Science – Research and Development</w:t>
      </w:r>
      <w:r>
        <w:t xml:space="preserve">, 33, 71–79.</w:t>
      </w:r>
    </w:p>
    <w:p>
      <w:pPr>
        <w:pStyle w:val="BodyText"/>
      </w:pPr>
      <w:r>
        <w:t xml:space="preserve">Körner, M.-F. (2021). The Role of Information Systems in Energy Transitions.</w:t>
      </w:r>
      <w:r>
        <w:t xml:space="preserve"> </w:t>
      </w:r>
      <w:r>
        <w:rPr>
          <w:i/>
          <w:iCs/>
        </w:rPr>
        <w:t xml:space="preserve">Doctoral Dissertation, University of Bayreuth</w:t>
      </w:r>
      <w:r>
        <w:t xml:space="preserve">.</w:t>
      </w:r>
    </w:p>
    <w:p>
      <w:pPr>
        <w:pStyle w:val="BodyText"/>
      </w:pPr>
      <w:r>
        <w:t xml:space="preserve">Li, Z., Bahramirad, S., Paaso, A., Yan, M., &amp; Shahidehpour, M. (2022). Blockchain for Decentralized Transactive Energy Management System in Networked Microgrids.</w:t>
      </w:r>
      <w:r>
        <w:t xml:space="preserve"> </w:t>
      </w:r>
      <w:r>
        <w:rPr>
          <w:i/>
          <w:iCs/>
        </w:rPr>
        <w:t xml:space="preserve">The Electricity Journal</w:t>
      </w:r>
      <w:r>
        <w:t xml:space="preserve">, 32(4), 27–32.</w:t>
      </w:r>
    </w:p>
    <w:p>
      <w:pPr>
        <w:pStyle w:val="BodyText"/>
      </w:pPr>
      <w:r>
        <w:t xml:space="preserve">Mould, R., Baker, K. J., &amp; Emmanuel, R. (2022). Behind the Curtain — Exposing the Trade in Guarantees of Origin for 100%</w:t>
      </w:r>
      <w:r>
        <w:t xml:space="preserve"> </w:t>
      </w:r>
      <w:r>
        <w:t xml:space="preserve">‘Renewable’</w:t>
      </w:r>
      <w:r>
        <w:t xml:space="preserve"> </w:t>
      </w:r>
      <w:r>
        <w:t xml:space="preserve">Energy Tariffs.</w:t>
      </w:r>
      <w:r>
        <w:t xml:space="preserve"> </w:t>
      </w:r>
      <w:r>
        <w:rPr>
          <w:i/>
          <w:iCs/>
        </w:rPr>
        <w:t xml:space="preserve">Energy Policy</w:t>
      </w:r>
      <w:r>
        <w:t xml:space="preserve">, 161, 112725.</w:t>
      </w:r>
    </w:p>
    <w:p>
      <w:pPr>
        <w:pStyle w:val="BodyText"/>
      </w:pPr>
      <w:r>
        <w:t xml:space="preserve">Nofuentes, G., Aguilera, J., &amp; Santiago, I. (2022). Evaluation of the Spanish Guarantee of Origin System for Renewable Energies.</w:t>
      </w:r>
      <w:r>
        <w:t xml:space="preserve"> </w:t>
      </w:r>
      <w:r>
        <w:rPr>
          <w:i/>
          <w:iCs/>
        </w:rPr>
        <w:t xml:space="preserve">Renewable and Sustainable Energy Reviews</w:t>
      </w:r>
      <w:r>
        <w:t xml:space="preserve">, 167, 112723.</w:t>
      </w:r>
    </w:p>
    <w:p>
      <w:pPr>
        <w:pStyle w:val="BodyText"/>
      </w:pPr>
      <w:r>
        <w:t xml:space="preserve">Ølnes, S., Ubacht, J., &amp; Janssen, M. (2022). Blockchain in Government: Benefits and Implications of Distributed Ledger Technology for Information Sharing.</w:t>
      </w:r>
      <w:r>
        <w:t xml:space="preserve"> </w:t>
      </w:r>
      <w:r>
        <w:rPr>
          <w:i/>
          <w:iCs/>
        </w:rPr>
        <w:t xml:space="preserve">Government Information Quarterly</w:t>
      </w:r>
      <w:r>
        <w:t xml:space="preserve">, 34(3), 355–364.</w:t>
      </w:r>
    </w:p>
    <w:p>
      <w:pPr>
        <w:pStyle w:val="BodyText"/>
      </w:pPr>
      <w:r>
        <w:t xml:space="preserve">Peffers, K., Tuunanen, T., Rothenberger, M. A., &amp; Chatterjee, S. (2007). A Design Science Research Methodology for Information Systems Artifacts.</w:t>
      </w:r>
      <w:r>
        <w:t xml:space="preserve"> </w:t>
      </w:r>
      <w:r>
        <w:rPr>
          <w:i/>
          <w:iCs/>
        </w:rPr>
        <w:t xml:space="preserve">Journal of Management Information Systems</w:t>
      </w:r>
      <w:r>
        <w:t xml:space="preserve">, 24(3), 45–77.</w:t>
      </w:r>
    </w:p>
    <w:p>
      <w:pPr>
        <w:pStyle w:val="BodyText"/>
      </w:pPr>
      <w:r>
        <w:t xml:space="preserve">Sailer, K., Reise, C., &amp; Brändlin, F. (2021). Cross-Carrier Conversion Considerations for GO Schemes.</w:t>
      </w:r>
      <w:r>
        <w:t xml:space="preserve"> </w:t>
      </w:r>
      <w:r>
        <w:rPr>
          <w:i/>
          <w:iCs/>
        </w:rPr>
        <w:t xml:space="preserve">REGATRACE Project Deliverable D5.1</w:t>
      </w:r>
      <w:r>
        <w:t xml:space="preserve">.</w:t>
      </w:r>
    </w:p>
    <w:p>
      <w:pPr>
        <w:pStyle w:val="BodyText"/>
      </w:pPr>
      <w:r>
        <w:t xml:space="preserve">Sedlmeir, J., Buhl, H., Fridgen, G., &amp; Keller, R. (2021). Recent Developments in Blockchain Technology and Their Impact on Energy Consumption.</w:t>
      </w:r>
      <w:r>
        <w:t xml:space="preserve"> </w:t>
      </w:r>
      <w:r>
        <w:rPr>
          <w:i/>
          <w:iCs/>
        </w:rPr>
        <w:t xml:space="preserve">Informatik Spektrum</w:t>
      </w:r>
      <w:r>
        <w:t xml:space="preserve">, 44, 190–200.</w:t>
      </w:r>
    </w:p>
    <w:p>
      <w:pPr>
        <w:pStyle w:val="BodyText"/>
      </w:pPr>
      <w:r>
        <w:t xml:space="preserve">Sonnenberg, C., &amp; vom Brocke, J. (2012). Evaluations in the Science of the Artificial – Reconsidering the Build-Evaluate Pattern in Design Science Research.</w:t>
      </w:r>
      <w:r>
        <w:t xml:space="preserve"> </w:t>
      </w:r>
      <w:r>
        <w:rPr>
          <w:i/>
          <w:iCs/>
        </w:rPr>
        <w:t xml:space="preserve">DESRIST 2012, LNCS 7286</w:t>
      </w:r>
      <w:r>
        <w:t xml:space="preserve">, 381–397.</w:t>
      </w:r>
    </w:p>
    <w:p>
      <w:pPr>
        <w:pStyle w:val="BodyText"/>
      </w:pPr>
      <w:r>
        <w:t xml:space="preserve">Thakkar, P., Nathan, S., &amp; Viswanathan, B. (2018). Performance Benchmarking and Optimizing Hyperledger Fabric Blockchain Platform. In</w:t>
      </w:r>
      <w:r>
        <w:t xml:space="preserve"> </w:t>
      </w:r>
      <w:r>
        <w:rPr>
          <w:i/>
          <w:iCs/>
        </w:rPr>
        <w:t xml:space="preserve">IEEE 26th International Symposium on Modeling, Analysis, and Simulation of Computer and Telecommunication Systems (MASCOTS)</w:t>
      </w:r>
      <w:r>
        <w:t xml:space="preserve">.</w:t>
      </w:r>
    </w:p>
    <w:p>
      <w:pPr>
        <w:pStyle w:val="BodyText"/>
      </w:pPr>
      <w:r>
        <w:t xml:space="preserve">van Stein-Callenfels, F., Verwimp, K., &amp; Timmerberg, S. (2021). Revision of CEN-EN 16325 — European Standard on Guarantees of Origin.</w:t>
      </w:r>
      <w:r>
        <w:t xml:space="preserve"> </w:t>
      </w:r>
      <w:r>
        <w:rPr>
          <w:i/>
          <w:iCs/>
        </w:rPr>
        <w:t xml:space="preserve">CEN/CLC/JTC 14</w:t>
      </w:r>
      <w:r>
        <w:t xml:space="preserve">.</w:t>
      </w:r>
    </w:p>
    <w:p>
      <w:pPr>
        <w:pStyle w:val="BodyText"/>
      </w:pPr>
      <w:r>
        <w:t xml:space="preserve">Verwimp, K., Barth, F., &amp; Timmerberg, S. (2022). Enabling the Cross-Carrier Transfer of Guarantees of Origin.</w:t>
      </w:r>
      <w:r>
        <w:t xml:space="preserve"> </w:t>
      </w:r>
      <w:r>
        <w:rPr>
          <w:i/>
          <w:iCs/>
        </w:rPr>
        <w:t xml:space="preserve">REGATRACE Project Deliverable D5.3</w:t>
      </w:r>
      <w:r>
        <w:t xml:space="preserve">.</w:t>
      </w:r>
    </w:p>
    <w:p>
      <w:pPr>
        <w:pStyle w:val="BodyText"/>
      </w:pPr>
      <w:r>
        <w:t xml:space="preserve">Wang, J., Chen, L., &amp; Zhang, J. (2019). A Review on the Renewable Energy Certificate Markets.</w:t>
      </w:r>
      <w:r>
        <w:t xml:space="preserve"> </w:t>
      </w:r>
      <w:r>
        <w:rPr>
          <w:i/>
          <w:iCs/>
        </w:rPr>
        <w:t xml:space="preserve">IOP Conference Series: Earth and Environmental Science</w:t>
      </w:r>
      <w:r>
        <w:t xml:space="preserve">, 227.</w:t>
      </w:r>
    </w:p>
    <w:p>
      <w:pPr>
        <w:pStyle w:val="BodyText"/>
      </w:pPr>
      <w:r>
        <w:t xml:space="preserve">Wüst, K., &amp; Gervais, A. (2018). Do You Need a Blockchain? In</w:t>
      </w:r>
      <w:r>
        <w:t xml:space="preserve"> </w:t>
      </w:r>
      <w:r>
        <w:rPr>
          <w:i/>
          <w:iCs/>
        </w:rPr>
        <w:t xml:space="preserve">IEEE Crypto Valley Conference on Blockchain Technology (CVCBT)</w:t>
      </w:r>
      <w:r>
        <w:t xml:space="preserve">, 45–54.</w:t>
      </w:r>
    </w:p>
    <w:p>
      <w:pPr>
        <w:pStyle w:val="BodyText"/>
      </w:pPr>
      <w:r>
        <w:t xml:space="preserve">Zhang, Y., Shi, X., &amp; Zhang, H. (2023). Renewable Energy Certificate Markets: Designs, Challenges and Prospects.</w:t>
      </w:r>
      <w:r>
        <w:t xml:space="preserve"> </w:t>
      </w:r>
      <w:r>
        <w:rPr>
          <w:i/>
          <w:iCs/>
        </w:rPr>
        <w:t xml:space="preserve">Renewable and Sustainable Energy Reviews</w:t>
      </w:r>
      <w:r>
        <w:t xml:space="preserve">, 175, 113152.</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2026-04-04T23:22:02Z</dcterms:created>
  <dcterms:modified xsi:type="dcterms:W3CDTF">2026-04-04T23:22:02Z</dcterms:modified>
</cp:coreProperties>
</file>

<file path=docProps/custom.xml><?xml version="1.0" encoding="utf-8"?>
<Properties xmlns="http://schemas.openxmlformats.org/officeDocument/2006/custom-properties" xmlns:vt="http://schemas.openxmlformats.org/officeDocument/2006/docPropsVTypes"/>
</file>