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left w:val="none"/>
              <w:bottom w:val="none"/>
              <w:right w:val="none"/>
            </w:tcBorders>
            <w:shd w:fill="1F3864" w:val="clear"/>
            <w:tcMar>
              <w:top w:type="dxa" w:w="600"/>
              <w:left w:type="dxa" w:w="480"/>
              <w:bottom w:type="dxa" w:w="600"/>
              <w:right w:type="dxa" w:w="480"/>
            </w:tcMar>
          </w:tcPr>
          <w:p>
            <w:pPr>
              <w:spacing w:after="80" w:before="0"/>
              <w:jc w:val="center"/>
            </w:pPr>
            <w:r>
              <w:rPr>
                <w:rFonts w:ascii="Arial" w:cs="Arial" w:eastAsia="Arial" w:hAnsi="Arial"/>
                <w:b/>
                <w:bCs/>
                <w:i w:val="false"/>
                <w:iCs w:val="false"/>
                <w:color w:val="FFFFFF"/>
                <w:sz w:val="32"/>
                <w:szCs w:val="32"/>
              </w:rPr>
              <w:t xml:space="preserve">INSTRUCTIVO DE REGLAS</w:t>
            </w:r>
          </w:p>
          <w:p>
            <w:pPr>
              <w:spacing w:after="80" w:before="0"/>
              <w:jc w:val="center"/>
            </w:pPr>
            <w:r>
              <w:rPr>
                <w:rFonts w:ascii="Arial" w:cs="Arial" w:eastAsia="Arial" w:hAnsi="Arial"/>
                <w:b w:val="false"/>
                <w:bCs w:val="false"/>
                <w:i w:val="false"/>
                <w:iCs w:val="false"/>
                <w:color w:val="BDD7EE"/>
                <w:sz w:val="26"/>
                <w:szCs w:val="26"/>
              </w:rPr>
              <w:t xml:space="preserve">Conciliación de Datafonos vs. Auxiliar Contable</w:t>
            </w:r>
          </w:p>
          <w:p>
            <w:pPr>
              <w:spacing w:after="120" w:before="0"/>
              <w:jc w:val="center"/>
            </w:pPr>
            <w:r>
              <w:rPr>
                <w:rFonts w:ascii="Arial" w:cs="Arial" w:eastAsia="Arial" w:hAnsi="Arial"/>
                <w:b w:val="false"/>
                <w:bCs w:val="false"/>
                <w:i/>
                <w:iCs/>
                <w:color w:val="9DC3E6"/>
                <w:sz w:val="22"/>
                <w:szCs w:val="22"/>
              </w:rPr>
              <w:t xml:space="preserve">Sistema Automatizado — Motor v1.2</w:t>
            </w:r>
          </w:p>
        </w:tc>
      </w:tr>
    </w:tbl>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F3864"/>
                <w:sz w:val="19"/>
                <w:szCs w:val="19"/>
              </w:rPr>
              <w:t xml:space="preserve">Empresa</w:t>
            </w:r>
          </w:p>
        </w:tc>
        <w:tc>
          <w:tcPr>
            <w:tcW w:type="dxa" w:w="688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000000"/>
                <w:sz w:val="19"/>
                <w:szCs w:val="19"/>
              </w:rPr>
              <w:t xml:space="preserve">GIRALDO GIRALDO JAIME WILSON</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F3864"/>
                <w:sz w:val="19"/>
                <w:szCs w:val="19"/>
              </w:rPr>
              <w:t xml:space="preserve">Cuenta bancaria</w:t>
            </w:r>
          </w:p>
        </w:tc>
        <w:tc>
          <w:tcPr>
            <w:tcW w:type="dxa" w:w="6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000000"/>
                <w:sz w:val="19"/>
                <w:szCs w:val="19"/>
              </w:rPr>
              <w:t xml:space="preserve">Corriente 2346 — Banco Davivienda</w:t>
            </w:r>
          </w:p>
        </w:tc>
      </w:tr>
      <w:tr>
        <w:tc>
          <w:tcPr>
            <w:tcW w:type="dxa" w:w="32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F3864"/>
                <w:sz w:val="19"/>
                <w:szCs w:val="19"/>
              </w:rPr>
              <w:t xml:space="preserve">Área</w:t>
            </w:r>
          </w:p>
        </w:tc>
        <w:tc>
          <w:tcPr>
            <w:tcW w:type="dxa" w:w="688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000000"/>
                <w:sz w:val="19"/>
                <w:szCs w:val="19"/>
              </w:rPr>
              <w:t xml:space="preserve">Contabilidad — Auxiliares Contables</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F3864"/>
                <w:sz w:val="19"/>
                <w:szCs w:val="19"/>
              </w:rPr>
              <w:t xml:space="preserve">Elaboró</w:t>
            </w:r>
          </w:p>
        </w:tc>
        <w:tc>
          <w:tcPr>
            <w:tcW w:type="dxa" w:w="6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000000"/>
                <w:sz w:val="19"/>
                <w:szCs w:val="19"/>
              </w:rPr>
              <w:t xml:space="preserve">Analista de Datos / Programador Junior</w:t>
            </w:r>
          </w:p>
        </w:tc>
      </w:tr>
      <w:tr>
        <w:tc>
          <w:tcPr>
            <w:tcW w:type="dxa" w:w="32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F3864"/>
                <w:sz w:val="19"/>
                <w:szCs w:val="19"/>
              </w:rPr>
              <w:t xml:space="preserve">Fecha</w:t>
            </w:r>
          </w:p>
        </w:tc>
        <w:tc>
          <w:tcPr>
            <w:tcW w:type="dxa" w:w="688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000000"/>
                <w:sz w:val="19"/>
                <w:szCs w:val="19"/>
              </w:rPr>
              <w:t xml:space="preserve">13 de abril de 2026</w:t>
            </w:r>
          </w:p>
        </w:tc>
      </w:tr>
      <w:tr>
        <w:tc>
          <w:tcPr>
            <w:tcW w:type="dxa" w:w="3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F3864"/>
                <w:sz w:val="19"/>
                <w:szCs w:val="19"/>
              </w:rPr>
              <w:t xml:space="preserve">Versión</w:t>
            </w:r>
          </w:p>
        </w:tc>
        <w:tc>
          <w:tcPr>
            <w:tcW w:type="dxa" w:w="68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000000"/>
                <w:sz w:val="19"/>
                <w:szCs w:val="19"/>
              </w:rPr>
              <w:t xml:space="preserve">1.2  (validado con datos reales — 30/30 registros cuadran)</w:t>
            </w:r>
          </w:p>
        </w:tc>
      </w:tr>
      <w:tr>
        <w:tc>
          <w:tcPr>
            <w:tcW w:type="dxa" w:w="32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F3864"/>
                <w:sz w:val="19"/>
                <w:szCs w:val="19"/>
              </w:rPr>
              <w:t xml:space="preserve">Normativa</w:t>
            </w:r>
          </w:p>
        </w:tc>
        <w:tc>
          <w:tcPr>
            <w:tcW w:type="dxa" w:w="688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000000"/>
                <w:sz w:val="19"/>
                <w:szCs w:val="19"/>
              </w:rPr>
              <w:t xml:space="preserve">NIIF para PYMES (Decreto 2420 de 2015) / DIAN Colombia</w:t>
            </w:r>
          </w:p>
        </w:tc>
      </w:tr>
    </w:tbl>
    <w:p>
      <w:pPr>
        <w:spacing w:after="80" w:before="0"/>
      </w:pPr>
      <w:r>
        <w:t xml:space="preserve"/>
      </w:r>
    </w:p>
    <w:p>
      <w:pPr>
        <w:spacing w:after="80" w:before="0"/>
      </w:pPr>
      <w:r>
        <w:t xml:space="preserve"/>
      </w:r>
    </w:p>
    <w:p>
      <w:pPr>
        <w:pStyle w:val="Heading1"/>
        <w:shd w:fill="1F3864" w:val="clear"/>
        <w:spacing w:after="160" w:before="280"/>
      </w:pPr>
      <w:r>
        <w:rPr>
          <w:rFonts w:ascii="Arial" w:cs="Arial" w:eastAsia="Arial" w:hAnsi="Arial"/>
          <w:b/>
          <w:bCs/>
          <w:color w:val="FFFFFF"/>
          <w:sz w:val="28"/>
          <w:szCs w:val="28"/>
        </w:rPr>
        <w:t xml:space="preserve">1.  Objetivo</w:t>
      </w:r>
    </w:p>
    <w:p>
      <w:pPr>
        <w:spacing w:after="120" w:before="0"/>
        <w:jc w:val="left"/>
      </w:pPr>
      <w:r>
        <w:rPr>
          <w:rFonts w:ascii="Arial" w:cs="Arial" w:eastAsia="Arial" w:hAnsi="Arial"/>
          <w:b w:val="false"/>
          <w:bCs w:val="false"/>
          <w:i w:val="false"/>
          <w:iCs w:val="false"/>
          <w:color w:val="000000"/>
          <w:sz w:val="20"/>
          <w:szCs w:val="20"/>
        </w:rPr>
        <w:t xml:space="preserve">Establecer las reglas formales aplicadas por el sistema automatizado de conciliación de datafonos para verificar que los valores registrados en el Auxiliar Contable (WorldOffice) correspondan exactamente con los valores abonados por la red de captura electrónica (Redeban / Credibanco), garantizando la trazabilidad, la reproducibilidad del proceso y el cumplimiento de la normativa contable colombiana.</w:t>
      </w:r>
    </w:p>
    <w:p>
      <w:pPr>
        <w:spacing w:after="80" w:before="0"/>
      </w:pPr>
      <w:r>
        <w:t xml:space="preserve"/>
      </w:r>
    </w:p>
    <w:p>
      <w:pPr>
        <w:pStyle w:val="Heading1"/>
        <w:shd w:fill="1F3864" w:val="clear"/>
        <w:spacing w:after="160" w:before="280"/>
      </w:pPr>
      <w:r>
        <w:rPr>
          <w:rFonts w:ascii="Arial" w:cs="Arial" w:eastAsia="Arial" w:hAnsi="Arial"/>
          <w:b/>
          <w:bCs/>
          <w:color w:val="FFFFFF"/>
          <w:sz w:val="28"/>
          <w:szCs w:val="28"/>
        </w:rPr>
        <w:t xml:space="preserve">2.  Archivos requeridos</w:t>
      </w:r>
    </w:p>
    <w:p>
      <w:pPr>
        <w:pStyle w:val="Heading2"/>
        <w:pBdr>
          <w:bottom w:val="single" w:color="2E75B6" w:sz="6"/>
        </w:pBdr>
        <w:spacing w:after="100" w:before="240"/>
      </w:pPr>
      <w:r>
        <w:rPr>
          <w:rFonts w:ascii="Arial" w:cs="Arial" w:eastAsia="Arial" w:hAnsi="Arial"/>
          <w:b/>
          <w:bCs/>
          <w:color w:val="1F3864"/>
          <w:sz w:val="24"/>
          <w:szCs w:val="24"/>
        </w:rPr>
        <w:t xml:space="preserve">2.1  Auxiliar Contable (WorldOffice)</w:t>
      </w:r>
    </w:p>
    <w:p>
      <w:pPr>
        <w:pStyle w:val="ListParagraph"/>
        <w:numPr>
          <w:ilvl w:val="0"/>
          <w:numId w:val="2"/>
        </w:numPr>
        <w:spacing w:after="60" w:before="40"/>
      </w:pPr>
      <w:r>
        <w:rPr>
          <w:rFonts w:ascii="Arial" w:cs="Arial" w:eastAsia="Arial" w:hAnsi="Arial"/>
          <w:b w:val="false"/>
          <w:bCs w:val="false"/>
          <w:color w:val="000000"/>
          <w:sz w:val="20"/>
          <w:szCs w:val="20"/>
        </w:rPr>
        <w:t xml:space="preserve">Formato: Excel (.xlsx) exportado directamente desde WorldOffice, sin modificaciones.</w:t>
      </w:r>
    </w:p>
    <w:p>
      <w:pPr>
        <w:pStyle w:val="ListParagraph"/>
        <w:numPr>
          <w:ilvl w:val="0"/>
          <w:numId w:val="2"/>
        </w:numPr>
        <w:spacing w:after="60" w:before="40"/>
      </w:pPr>
      <w:r>
        <w:rPr>
          <w:rFonts w:ascii="Arial" w:cs="Arial" w:eastAsia="Arial" w:hAnsi="Arial"/>
          <w:b w:val="false"/>
          <w:bCs w:val="false"/>
          <w:color w:val="000000"/>
          <w:sz w:val="20"/>
          <w:szCs w:val="20"/>
        </w:rPr>
        <w:t xml:space="preserve">Cuenta: 11100508 — Cuenta Corriente 2346.</w:t>
      </w:r>
    </w:p>
    <w:p>
      <w:pPr>
        <w:pStyle w:val="ListParagraph"/>
        <w:numPr>
          <w:ilvl w:val="0"/>
          <w:numId w:val="2"/>
        </w:numPr>
        <w:spacing w:after="60" w:before="40"/>
      </w:pPr>
      <w:r>
        <w:rPr>
          <w:rFonts w:ascii="Arial" w:cs="Arial" w:eastAsia="Arial" w:hAnsi="Arial"/>
          <w:b w:val="false"/>
          <w:bCs w:val="false"/>
          <w:color w:val="000000"/>
          <w:sz w:val="20"/>
          <w:szCs w:val="20"/>
        </w:rPr>
        <w:t xml:space="preserve">Columnas utilizadas por el sistema:</w:t>
      </w:r>
    </w:p>
    <w:p>
      <w:pPr>
        <w:pStyle w:val="ListParagraph"/>
        <w:numPr>
          <w:ilvl w:val="0"/>
          <w:numId w:val="3"/>
        </w:numPr>
        <w:spacing w:after="40" w:before="20"/>
      </w:pPr>
      <w:r>
        <w:rPr>
          <w:rFonts w:ascii="Arial" w:cs="Arial" w:eastAsia="Arial" w:hAnsi="Arial"/>
          <w:color w:val="444444"/>
          <w:sz w:val="20"/>
          <w:szCs w:val="20"/>
        </w:rPr>
        <w:t xml:space="preserve">Nota — contiene el número de día y el nombre de la sede (ej.: "2- DATAFONO ENVIGADO").</w:t>
      </w:r>
    </w:p>
    <w:p>
      <w:pPr>
        <w:pStyle w:val="ListParagraph"/>
        <w:numPr>
          <w:ilvl w:val="0"/>
          <w:numId w:val="3"/>
        </w:numPr>
        <w:spacing w:after="40" w:before="20"/>
      </w:pPr>
      <w:r>
        <w:rPr>
          <w:rFonts w:ascii="Arial" w:cs="Arial" w:eastAsia="Arial" w:hAnsi="Arial"/>
          <w:color w:val="444444"/>
          <w:sz w:val="20"/>
          <w:szCs w:val="20"/>
        </w:rPr>
        <w:t xml:space="preserve">Debitos — valor registrado contablemente para ese día y esa sede.</w:t>
      </w:r>
    </w:p>
    <w:p>
      <w:pPr>
        <w:pStyle w:val="ListParagraph"/>
        <w:numPr>
          <w:ilvl w:val="0"/>
          <w:numId w:val="3"/>
        </w:numPr>
        <w:spacing w:after="40" w:before="20"/>
      </w:pPr>
      <w:r>
        <w:rPr>
          <w:rFonts w:ascii="Arial" w:cs="Arial" w:eastAsia="Arial" w:hAnsi="Arial"/>
          <w:color w:val="444444"/>
          <w:sz w:val="20"/>
          <w:szCs w:val="20"/>
        </w:rPr>
        <w:t xml:space="preserve">Fecha — fecha de registro contable (generalmente el último día del período).</w:t>
      </w:r>
    </w:p>
    <w:p>
      <w:pPr>
        <w:pStyle w:val="ListParagraph"/>
        <w:numPr>
          <w:ilvl w:val="0"/>
          <w:numId w:val="3"/>
        </w:numPr>
        <w:spacing w:after="40" w:before="20"/>
      </w:pPr>
      <w:r>
        <w:rPr>
          <w:rFonts w:ascii="Arial" w:cs="Arial" w:eastAsia="Arial" w:hAnsi="Arial"/>
          <w:color w:val="444444"/>
          <w:sz w:val="20"/>
          <w:szCs w:val="20"/>
        </w:rPr>
        <w:t xml:space="preserve">Doc Num — número del comprobante contable (ej.: (JWG) NC 2768).</w:t>
      </w:r>
    </w:p>
    <w:p>
      <w:pPr>
        <w:pStyle w:val="Heading2"/>
        <w:pBdr>
          <w:bottom w:val="single" w:color="2E75B6" w:sz="6"/>
        </w:pBdr>
        <w:spacing w:after="100" w:before="240"/>
      </w:pPr>
      <w:r>
        <w:rPr>
          <w:rFonts w:ascii="Arial" w:cs="Arial" w:eastAsia="Arial" w:hAnsi="Arial"/>
          <w:b/>
          <w:bCs/>
          <w:color w:val="1F3864"/>
          <w:sz w:val="24"/>
          <w:szCs w:val="24"/>
        </w:rPr>
        <w:t xml:space="preserve">2.2  Archivo de Datafono (Redeban / Credibanco)</w:t>
      </w:r>
    </w:p>
    <w:p>
      <w:pPr>
        <w:pStyle w:val="ListParagraph"/>
        <w:numPr>
          <w:ilvl w:val="0"/>
          <w:numId w:val="2"/>
        </w:numPr>
        <w:spacing w:after="60" w:before="40"/>
      </w:pPr>
      <w:r>
        <w:rPr>
          <w:rFonts w:ascii="Arial" w:cs="Arial" w:eastAsia="Arial" w:hAnsi="Arial"/>
          <w:b w:val="false"/>
          <w:bCs w:val="false"/>
          <w:color w:val="000000"/>
          <w:sz w:val="20"/>
          <w:szCs w:val="20"/>
        </w:rPr>
        <w:t xml:space="preserve">Formato: Excel (.xlsx) con el reporte de transacciones de la red de captura.</w:t>
      </w:r>
    </w:p>
    <w:p>
      <w:pPr>
        <w:pStyle w:val="ListParagraph"/>
        <w:numPr>
          <w:ilvl w:val="0"/>
          <w:numId w:val="2"/>
        </w:numPr>
        <w:spacing w:after="60" w:before="40"/>
      </w:pPr>
      <w:r>
        <w:rPr>
          <w:rFonts w:ascii="Arial" w:cs="Arial" w:eastAsia="Arial" w:hAnsi="Arial"/>
          <w:b w:val="false"/>
          <w:bCs w:val="false"/>
          <w:color w:val="000000"/>
          <w:sz w:val="20"/>
          <w:szCs w:val="20"/>
        </w:rPr>
        <w:t xml:space="preserve">Nombre del archivo debe seguir la convención: datafono_SEDE.xlsx (ej.: datafono_ENVIGADO.xlsx).</w:t>
      </w:r>
    </w:p>
    <w:p>
      <w:pPr>
        <w:pStyle w:val="ListParagraph"/>
        <w:numPr>
          <w:ilvl w:val="0"/>
          <w:numId w:val="2"/>
        </w:numPr>
        <w:spacing w:after="60" w:before="40"/>
      </w:pPr>
      <w:r>
        <w:rPr>
          <w:rFonts w:ascii="Arial" w:cs="Arial" w:eastAsia="Arial" w:hAnsi="Arial"/>
          <w:b w:val="false"/>
          <w:bCs w:val="false"/>
          <w:color w:val="000000"/>
          <w:sz w:val="20"/>
          <w:szCs w:val="20"/>
        </w:rPr>
        <w:t xml:space="preserve">Columnas obligatorias utilizadas por el sistema:</w:t>
      </w:r>
    </w:p>
    <w:p>
      <w:pPr>
        <w:pStyle w:val="ListParagraph"/>
        <w:numPr>
          <w:ilvl w:val="0"/>
          <w:numId w:val="3"/>
        </w:numPr>
        <w:spacing w:after="40" w:before="20"/>
      </w:pPr>
      <w:r>
        <w:rPr>
          <w:rFonts w:ascii="Arial" w:cs="Arial" w:eastAsia="Arial" w:hAnsi="Arial"/>
          <w:color w:val="444444"/>
          <w:sz w:val="20"/>
          <w:szCs w:val="20"/>
        </w:rPr>
        <w:t xml:space="preserve">Fecha Vale — fecha en que se realizó la venta (reconocimiento contable).</w:t>
      </w:r>
    </w:p>
    <w:p>
      <w:pPr>
        <w:pStyle w:val="ListParagraph"/>
        <w:numPr>
          <w:ilvl w:val="0"/>
          <w:numId w:val="3"/>
        </w:numPr>
        <w:spacing w:after="40" w:before="20"/>
      </w:pPr>
      <w:r>
        <w:rPr>
          <w:rFonts w:ascii="Arial" w:cs="Arial" w:eastAsia="Arial" w:hAnsi="Arial"/>
          <w:color w:val="444444"/>
          <w:sz w:val="20"/>
          <w:szCs w:val="20"/>
        </w:rPr>
        <w:t xml:space="preserve">Fecha de Abono — fecha en que el banco acreditó el valor neto (conciliación bancaria).</w:t>
      </w:r>
    </w:p>
    <w:p>
      <w:pPr>
        <w:pStyle w:val="ListParagraph"/>
        <w:numPr>
          <w:ilvl w:val="0"/>
          <w:numId w:val="3"/>
        </w:numPr>
        <w:spacing w:after="40" w:before="20"/>
      </w:pPr>
      <w:r>
        <w:rPr>
          <w:rFonts w:ascii="Arial" w:cs="Arial" w:eastAsia="Arial" w:hAnsi="Arial"/>
          <w:color w:val="444444"/>
          <w:sz w:val="20"/>
          <w:szCs w:val="20"/>
        </w:rPr>
        <w:t xml:space="preserve">Bol. Ruta — código agrupador del abono bancario (formato YYYYMMDD).</w:t>
      </w:r>
    </w:p>
    <w:p>
      <w:pPr>
        <w:pStyle w:val="ListParagraph"/>
        <w:numPr>
          <w:ilvl w:val="0"/>
          <w:numId w:val="3"/>
        </w:numPr>
        <w:spacing w:after="40" w:before="20"/>
      </w:pPr>
      <w:r>
        <w:rPr>
          <w:rFonts w:ascii="Arial" w:cs="Arial" w:eastAsia="Arial" w:hAnsi="Arial"/>
          <w:color w:val="444444"/>
          <w:sz w:val="20"/>
          <w:szCs w:val="20"/>
        </w:rPr>
        <w:t xml:space="preserve">Valor Neto — valor real acreditado, ya descontadas comisiones y retenciones.</w:t>
      </w:r>
    </w:p>
    <w:p>
      <w:pPr>
        <w:pStyle w:val="ListParagraph"/>
        <w:numPr>
          <w:ilvl w:val="0"/>
          <w:numId w:val="2"/>
        </w:numPr>
        <w:spacing w:after="60" w:before="40"/>
      </w:pPr>
      <w:r>
        <w:rPr>
          <w:rFonts w:ascii="Arial" w:cs="Arial" w:eastAsia="Arial" w:hAnsi="Arial"/>
          <w:b w:val="false"/>
          <w:bCs w:val="false"/>
          <w:color w:val="000000"/>
          <w:sz w:val="20"/>
          <w:szCs w:val="20"/>
        </w:rPr>
        <w:t xml:space="preserve">Columnas opcionales (se usan en el detalle del reporte):</w:t>
      </w:r>
    </w:p>
    <w:p>
      <w:pPr>
        <w:pStyle w:val="ListParagraph"/>
        <w:numPr>
          <w:ilvl w:val="0"/>
          <w:numId w:val="3"/>
        </w:numPr>
        <w:spacing w:after="40" w:before="20"/>
      </w:pPr>
      <w:r>
        <w:rPr>
          <w:rFonts w:ascii="Arial" w:cs="Arial" w:eastAsia="Arial" w:hAnsi="Arial"/>
          <w:color w:val="444444"/>
          <w:sz w:val="20"/>
          <w:szCs w:val="20"/>
        </w:rPr>
        <w:t xml:space="preserve">Valor Comisión, Ret. Fuente, Ret. IVA, Ret. ICA.</w:t>
      </w:r>
    </w:p>
    <w:p>
      <w:pPr>
        <w:pStyle w:val="ListParagraph"/>
        <w:numPr>
          <w:ilvl w:val="0"/>
          <w:numId w:val="3"/>
        </w:numPr>
        <w:spacing w:after="40" w:before="20"/>
      </w:pPr>
      <w:r>
        <w:rPr>
          <w:rFonts w:ascii="Arial" w:cs="Arial" w:eastAsia="Arial" w:hAnsi="Arial"/>
          <w:color w:val="444444"/>
          <w:sz w:val="20"/>
          <w:szCs w:val="20"/>
        </w:rPr>
        <w:t xml:space="preserve">Red, Terminal, Tipo Tarjeta.</w:t>
      </w:r>
    </w:p>
    <w:p>
      <w:pPr>
        <w:spacing w:after="80" w:before="0"/>
      </w:pPr>
      <w:r>
        <w:t xml:space="preserve"/>
      </w:r>
    </w:p>
    <w:p>
      <w:pPr>
        <w:pStyle w:val="Heading1"/>
        <w:shd w:fill="1F3864" w:val="clear"/>
        <w:spacing w:after="160" w:before="280"/>
      </w:pPr>
      <w:r>
        <w:rPr>
          <w:rFonts w:ascii="Arial" w:cs="Arial" w:eastAsia="Arial" w:hAnsi="Arial"/>
          <w:b/>
          <w:bCs/>
          <w:color w:val="FFFFFF"/>
          <w:sz w:val="28"/>
          <w:szCs w:val="28"/>
        </w:rPr>
        <w:t xml:space="preserve">3.  Reglas del proceso (aplicadas por el sistema)</w:t>
      </w:r>
    </w:p>
    <w:p>
      <w:pPr>
        <w:pStyle w:val="Heading2"/>
        <w:pBdr>
          <w:bottom w:val="single" w:color="2E75B6" w:sz="6"/>
        </w:pBdr>
        <w:spacing w:after="100" w:before="240"/>
      </w:pPr>
      <w:r>
        <w:rPr>
          <w:rFonts w:ascii="Arial" w:cs="Arial" w:eastAsia="Arial" w:hAnsi="Arial"/>
          <w:b/>
          <w:bCs/>
          <w:color w:val="1F3864"/>
          <w:sz w:val="24"/>
          <w:szCs w:val="24"/>
        </w:rPr>
        <w:t xml:space="preserve">REGLA 1 — Filtrado del auxiliar</w:t>
      </w:r>
    </w:p>
    <w:p>
      <w:pPr>
        <w:spacing w:after="100" w:before="0"/>
        <w:jc w:val="left"/>
      </w:pPr>
      <w:r>
        <w:rPr>
          <w:rFonts w:ascii="Arial" w:cs="Arial" w:eastAsia="Arial" w:hAnsi="Arial"/>
          <w:b w:val="false"/>
          <w:bCs w:val="false"/>
          <w:i w:val="false"/>
          <w:iCs w:val="false"/>
          <w:color w:val="000000"/>
          <w:sz w:val="20"/>
          <w:szCs w:val="20"/>
        </w:rPr>
        <w:t xml:space="preserve">El sistema extrae únicamente los registros del auxiliar cuya columna Nota comience con un número seguido de guion o espacio y la palabra DATAFONO. Se excluyen deliberadamente registros de efectivo, arriendos, ICA u otros conceptos que puedan mencionar el nombre de una sede sin ser transacciones de datafono.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22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Campo</w:t>
            </w:r>
          </w:p>
        </w:tc>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Patrón requerido</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Ejemplo válido</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Ejemplo excluido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Nota</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^NÚMERO- DATAFONO SEDE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2- DATAFONO ENVIGADO</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PAGO ICA ENVIGADO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Nota</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^NÚMERO DATAFONO SEDE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10 DATAFONO MOLINOS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EFECTIVO ENVIGADO 5/01</w:t>
            </w:r>
          </w:p>
        </w:tc>
      </w:tr>
    </w:tbl>
    <w:p>
      <w:pPr>
        <w:spacing w:after="80" w:before="0"/>
      </w:pPr>
      <w:r>
        <w:t xml:space="preserve"/>
      </w:r>
    </w:p>
    <w:p>
      <w:pPr>
        <w:pStyle w:val="Heading2"/>
        <w:pBdr>
          <w:bottom w:val="single" w:color="2E75B6" w:sz="6"/>
        </w:pBdr>
        <w:spacing w:after="100" w:before="240"/>
      </w:pPr>
      <w:r>
        <w:rPr>
          <w:rFonts w:ascii="Arial" w:cs="Arial" w:eastAsia="Arial" w:hAnsi="Arial"/>
          <w:b/>
          <w:bCs/>
          <w:color w:val="1F3864"/>
          <w:sz w:val="24"/>
          <w:szCs w:val="24"/>
        </w:rPr>
        <w:t xml:space="preserve">REGLA 2 — Extracción del día de operación</w:t>
      </w:r>
    </w:p>
    <w:p>
      <w:pPr>
        <w:spacing w:after="100" w:before="0"/>
        <w:jc w:val="left"/>
      </w:pPr>
      <w:r>
        <w:rPr>
          <w:rFonts w:ascii="Arial" w:cs="Arial" w:eastAsia="Arial" w:hAnsi="Arial"/>
          <w:b w:val="false"/>
          <w:bCs w:val="false"/>
          <w:i w:val="false"/>
          <w:iCs w:val="false"/>
          <w:color w:val="000000"/>
          <w:sz w:val="20"/>
          <w:szCs w:val="20"/>
        </w:rPr>
        <w:t xml:space="preserve">El sistema extrae el número al inicio de la columna Nota del auxiliar. Este número representa el día del mes de la Fecha Vale en el archivo de datafono — no la fecha de abono bancario.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gridSpan w:val="1"/>
            <w:tcBorders>
              <w:top w:val="single" w:color="2E75B6" w:sz="8"/>
              <w:left w:val="single" w:color="2E75B6" w:sz="8"/>
              <w:bottom w:val="single" w:color="2E75B6" w:sz="8"/>
              <w:right w:val="single" w:color="2E75B6" w:sz="8"/>
            </w:tcBorders>
            <w:shd w:fill="2E75B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20"/>
                <w:szCs w:val="20"/>
              </w:rPr>
              <w:t xml:space="preserve">✔  Lógica validada con datos reales</w:t>
            </w:r>
          </w:p>
        </w:tc>
      </w:tr>
      <w:tr>
        <w:tc>
          <w:tcPr>
            <w:tcBorders>
              <w:top w:val="single" w:color="2E75B6" w:sz="8"/>
              <w:left w:val="single" w:color="2E75B6" w:sz="8"/>
              <w:bottom w:val="single" w:color="2E75B6" w:sz="8"/>
              <w:right w:val="single" w:color="2E75B6" w:sz="8"/>
            </w:tcBorders>
            <w:shd w:fill="E2EFDA" w:val="clear"/>
            <w:tcMar>
              <w:top w:type="dxa" w:w="100"/>
              <w:left w:type="dxa" w:w="180"/>
              <w:bottom w:type="dxa" w:w="100"/>
              <w:right w:type="dxa" w:w="180"/>
            </w:tcMar>
          </w:tcPr>
          <w:p>
            <w:pPr>
              <w:spacing w:after="60" w:before="0"/>
              <w:jc w:val="left"/>
            </w:pPr>
            <w:r>
              <w:rPr>
                <w:rFonts w:ascii="Arial" w:cs="Arial" w:eastAsia="Arial" w:hAnsi="Arial"/>
                <w:b w:val="false"/>
                <w:bCs w:val="false"/>
                <w:i w:val="false"/>
                <w:iCs w:val="false"/>
                <w:color w:val="375623"/>
                <w:sz w:val="20"/>
                <w:szCs w:val="20"/>
              </w:rPr>
              <w:t xml:space="preserve">Auxiliar: "2- DATAFONO ENVIGADO" → extrae día = 2</w:t>
            </w:r>
          </w:p>
          <w:p>
            <w:pPr>
              <w:spacing w:after="60" w:before="0"/>
              <w:jc w:val="left"/>
            </w:pPr>
            <w:r>
              <w:rPr>
                <w:rFonts w:ascii="Arial" w:cs="Arial" w:eastAsia="Arial" w:hAnsi="Arial"/>
                <w:b w:val="false"/>
                <w:bCs w:val="false"/>
                <w:i w:val="false"/>
                <w:iCs w:val="false"/>
                <w:color w:val="375623"/>
                <w:sz w:val="20"/>
                <w:szCs w:val="20"/>
              </w:rPr>
              <w:t xml:space="preserve">Datafono: todas las transacciones con Fecha Vale = 02/01/2026 suman $982.610</w:t>
            </w:r>
          </w:p>
          <w:p>
            <w:pPr>
              <w:spacing w:after="60" w:before="0"/>
              <w:jc w:val="left"/>
            </w:pPr>
            <w:r>
              <w:rPr>
                <w:rFonts w:ascii="Arial" w:cs="Arial" w:eastAsia="Arial" w:hAnsi="Arial"/>
                <w:b w:val="false"/>
                <w:bCs w:val="false"/>
                <w:i w:val="false"/>
                <w:iCs w:val="false"/>
                <w:color w:val="375623"/>
                <w:sz w:val="20"/>
                <w:szCs w:val="20"/>
              </w:rPr>
              <w:t xml:space="preserve">Resultado: $982.610 vs $982.610 — CUADRA EXACTO</w:t>
            </w:r>
          </w:p>
          <w:p>
            <w:pPr>
              <w:spacing w:after="60" w:before="0"/>
              <w:jc w:val="left"/>
            </w:pPr>
            <w:r>
              <w:rPr>
                <w:rFonts w:ascii="Arial" w:cs="Arial" w:eastAsia="Arial" w:hAnsi="Arial"/>
                <w:b w:val="false"/>
                <w:bCs w:val="false"/>
                <w:i w:val="false"/>
                <w:iCs w:val="false"/>
                <w:color w:val="375623"/>
                <w:sz w:val="20"/>
                <w:szCs w:val="20"/>
              </w:rPr>
              <w:t xml:space="preserve"/>
            </w:r>
          </w:p>
          <w:p>
            <w:pPr>
              <w:spacing w:after="60" w:before="0"/>
              <w:jc w:val="left"/>
            </w:pPr>
            <w:r>
              <w:rPr>
                <w:rFonts w:ascii="Arial" w:cs="Arial" w:eastAsia="Arial" w:hAnsi="Arial"/>
                <w:b w:val="false"/>
                <w:bCs w:val="false"/>
                <w:i w:val="false"/>
                <w:iCs w:val="false"/>
                <w:color w:val="375623"/>
                <w:sz w:val="20"/>
                <w:szCs w:val="20"/>
              </w:rPr>
              <w:t xml:space="preserve">Esta lógica fue validada en los 30 días hábiles de Enero 2026:</w:t>
            </w:r>
          </w:p>
          <w:p>
            <w:pPr>
              <w:spacing w:after="60" w:before="0"/>
              <w:jc w:val="left"/>
            </w:pPr>
            <w:r>
              <w:rPr>
                <w:rFonts w:ascii="Arial" w:cs="Arial" w:eastAsia="Arial" w:hAnsi="Arial"/>
                <w:b w:val="false"/>
                <w:bCs w:val="false"/>
                <w:i w:val="false"/>
                <w:iCs w:val="false"/>
                <w:color w:val="375623"/>
                <w:sz w:val="20"/>
                <w:szCs w:val="20"/>
              </w:rPr>
              <w:t xml:space="preserve">30 / 30 registros cuadran con diferencia = $0</w:t>
            </w:r>
          </w:p>
        </w:tc>
      </w:tr>
    </w:tbl>
    <w:p>
      <w:pPr>
        <w:spacing w:after="80" w:before="0"/>
      </w:pPr>
      <w:r>
        <w:t xml:space="preserve"/>
      </w:r>
    </w:p>
    <w:p>
      <w:pPr>
        <w:pStyle w:val="Heading2"/>
        <w:pBdr>
          <w:bottom w:val="single" w:color="2E75B6" w:sz="6"/>
        </w:pBdr>
        <w:spacing w:after="100" w:before="240"/>
      </w:pPr>
      <w:r>
        <w:rPr>
          <w:rFonts w:ascii="Arial" w:cs="Arial" w:eastAsia="Arial" w:hAnsi="Arial"/>
          <w:b/>
          <w:bCs/>
          <w:color w:val="1F3864"/>
          <w:sz w:val="24"/>
          <w:szCs w:val="24"/>
        </w:rPr>
        <w:t xml:space="preserve">REGLA 3 — Extracción del nombre de sede</w:t>
      </w:r>
    </w:p>
    <w:p>
      <w:pPr>
        <w:spacing w:after="100" w:before="0"/>
        <w:jc w:val="left"/>
      </w:pPr>
      <w:r>
        <w:rPr>
          <w:rFonts w:ascii="Arial" w:cs="Arial" w:eastAsia="Arial" w:hAnsi="Arial"/>
          <w:b w:val="false"/>
          <w:bCs w:val="false"/>
          <w:i w:val="false"/>
          <w:iCs w:val="false"/>
          <w:color w:val="000000"/>
          <w:sz w:val="20"/>
          <w:szCs w:val="20"/>
        </w:rPr>
        <w:t xml:space="preserve">El nombre de la sede se extrae de la Nota del auxiliar tomando todo el texto que sigue a la palabra DATAFONO, normalizado a mayúsculas. Este nombre debe coincidir exactamente con la parte del nombre del archivo de datafono que sigue al prefijo 'datafono_'.</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000"/>
      </w:tblGrid>
      <w:tr>
        <w:trPr>
          <w:tblHeader/>
        </w:trPr>
        <w:tc>
          <w:tcPr>
            <w:tcW w:type="dxa" w:w="3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Nota en auxiliar</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Sede extraída</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Archivo de datafono esperado</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2- DATAFONO ENVIGADO</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ENVIGADO</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datafono_ENVIGADO.xlsx</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5- DATAFONO CHIPICHAPE</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CHIPICHAPE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datafono_CHIPICHAPE.xlsx</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10- DATAFONO JARDIN PLAZA</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JARDIN PLAZA</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datafono_JARDIN PLAZA.xlsx</w:t>
            </w:r>
          </w:p>
        </w:tc>
      </w:tr>
      <w:tr>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3- DATAFONO PUERTA DEL NORTE</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PUERTA DEL NORTE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datafono_PUERTA DEL NORTE.xlsx</w:t>
            </w:r>
          </w:p>
        </w:tc>
      </w:tr>
    </w:tbl>
    <w:p>
      <w:pPr>
        <w:spacing w:after="80" w:before="0"/>
      </w:pPr>
      <w:r>
        <w:t xml:space="preserve"/>
      </w:r>
    </w:p>
    <w:p>
      <w:pPr>
        <w:pStyle w:val="Heading2"/>
        <w:pBdr>
          <w:bottom w:val="single" w:color="2E75B6" w:sz="6"/>
        </w:pBdr>
        <w:spacing w:after="100" w:before="240"/>
      </w:pPr>
      <w:r>
        <w:rPr>
          <w:rFonts w:ascii="Arial" w:cs="Arial" w:eastAsia="Arial" w:hAnsi="Arial"/>
          <w:b/>
          <w:bCs/>
          <w:color w:val="1F3864"/>
          <w:sz w:val="24"/>
          <w:szCs w:val="24"/>
        </w:rPr>
        <w:t xml:space="preserve">REGLA 4 — Anti-duplicado de hojas en el archivo de datafono</w:t>
      </w:r>
    </w:p>
    <w:p>
      <w:pPr>
        <w:spacing w:after="100" w:before="0"/>
        <w:jc w:val="left"/>
      </w:pPr>
      <w:r>
        <w:rPr>
          <w:rFonts w:ascii="Arial" w:cs="Arial" w:eastAsia="Arial" w:hAnsi="Arial"/>
          <w:b w:val="false"/>
          <w:bCs w:val="false"/>
          <w:i w:val="false"/>
          <w:iCs w:val="false"/>
          <w:color w:val="000000"/>
          <w:sz w:val="20"/>
          <w:szCs w:val="20"/>
        </w:rPr>
        <w:t xml:space="preserve">Los archivos de datafono generados por Redeban y Credibanco pueden contener múltiples hojas. En algunos casos, una hoja incluye el banner corporativo y otra hoja limpia contiene exactamente los mismos datos. El sistema detecta automáticamente este patrón comparando los totales diarios entre hojas.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gridSpan w:val="1"/>
            <w:tcBorders>
              <w:top w:val="single" w:color="2E75B6" w:sz="8"/>
              <w:left w:val="single" w:color="2E75B6" w:sz="8"/>
              <w:bottom w:val="single" w:color="2E75B6" w:sz="8"/>
              <w:right w:val="single" w:color="2E75B6" w:sz="8"/>
            </w:tcBorders>
            <w:shd w:fill="2E75B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20"/>
                <w:szCs w:val="20"/>
              </w:rPr>
              <w:t xml:space="preserve">⚠  Comportamiento detectado en datos reales</w:t>
            </w:r>
          </w:p>
        </w:tc>
      </w:tr>
      <w:tr>
        <w:tc>
          <w:tcPr>
            <w:tcBorders>
              <w:top w:val="single" w:color="2E75B6" w:sz="8"/>
              <w:left w:val="single" w:color="2E75B6" w:sz="8"/>
              <w:bottom w:val="single" w:color="2E75B6" w:sz="8"/>
              <w:right w:val="single" w:color="2E75B6" w:sz="8"/>
            </w:tcBorders>
            <w:shd w:fill="FFF2CC" w:val="clear"/>
            <w:tcMar>
              <w:top w:type="dxa" w:w="100"/>
              <w:left w:type="dxa" w:w="180"/>
              <w:bottom w:type="dxa" w:w="100"/>
              <w:right w:type="dxa" w:w="180"/>
            </w:tcMar>
          </w:tcPr>
          <w:p>
            <w:pPr>
              <w:spacing w:after="60" w:before="0"/>
              <w:jc w:val="left"/>
            </w:pPr>
            <w:r>
              <w:rPr>
                <w:rFonts w:ascii="Arial" w:cs="Arial" w:eastAsia="Arial" w:hAnsi="Arial"/>
                <w:b w:val="false"/>
                <w:bCs w:val="false"/>
                <w:i w:val="false"/>
                <w:iCs w:val="false"/>
                <w:color w:val="7F6000"/>
                <w:sz w:val="20"/>
                <w:szCs w:val="20"/>
              </w:rPr>
              <w:t xml:space="preserve">Archivo: datafono_ENVIGADO.xlsx</w:t>
            </w:r>
          </w:p>
          <w:p>
            <w:pPr>
              <w:spacing w:after="60" w:before="0"/>
              <w:jc w:val="left"/>
            </w:pPr>
            <w:r>
              <w:rPr>
                <w:rFonts w:ascii="Arial" w:cs="Arial" w:eastAsia="Arial" w:hAnsi="Arial"/>
                <w:b w:val="false"/>
                <w:bCs w:val="false"/>
                <w:i w:val="false"/>
                <w:iCs w:val="false"/>
                <w:color w:val="7F6000"/>
                <w:sz w:val="20"/>
                <w:szCs w:val="20"/>
              </w:rPr>
              <w:t xml:space="preserve">Hoja 1 (ENVIGADO): 245 transacciones con banner — USADA</w:t>
            </w:r>
          </w:p>
          <w:p>
            <w:pPr>
              <w:spacing w:after="60" w:before="0"/>
              <w:jc w:val="left"/>
            </w:pPr>
            <w:r>
              <w:rPr>
                <w:rFonts w:ascii="Arial" w:cs="Arial" w:eastAsia="Arial" w:hAnsi="Arial"/>
                <w:b w:val="false"/>
                <w:bCs w:val="false"/>
                <w:i w:val="false"/>
                <w:iCs w:val="false"/>
                <w:color w:val="7F6000"/>
                <w:sz w:val="20"/>
                <w:szCs w:val="20"/>
              </w:rPr>
              <w:t xml:space="preserve">Hoja 2 (Hoja1): 196 transacciones sin banner — IGNORADA (duplicado)</w:t>
            </w:r>
          </w:p>
          <w:p>
            <w:pPr>
              <w:spacing w:after="60" w:before="0"/>
              <w:jc w:val="left"/>
            </w:pPr>
            <w:r>
              <w:rPr>
                <w:rFonts w:ascii="Arial" w:cs="Arial" w:eastAsia="Arial" w:hAnsi="Arial"/>
                <w:b w:val="false"/>
                <w:bCs w:val="false"/>
                <w:i w:val="false"/>
                <w:iCs w:val="false"/>
                <w:color w:val="7F6000"/>
                <w:sz w:val="20"/>
                <w:szCs w:val="20"/>
              </w:rPr>
              <w:t xml:space="preserve"/>
            </w:r>
          </w:p>
          <w:p>
            <w:pPr>
              <w:spacing w:after="60" w:before="0"/>
              <w:jc w:val="left"/>
            </w:pPr>
            <w:r>
              <w:rPr>
                <w:rFonts w:ascii="Arial" w:cs="Arial" w:eastAsia="Arial" w:hAnsi="Arial"/>
                <w:b w:val="false"/>
                <w:bCs w:val="false"/>
                <w:i w:val="false"/>
                <w:iCs w:val="false"/>
                <w:color w:val="7F6000"/>
                <w:sz w:val="20"/>
                <w:szCs w:val="20"/>
              </w:rPr>
              <w:t xml:space="preserve">Criterio: si más del 80% de los días tienen totales idénticos</w:t>
            </w:r>
          </w:p>
          <w:p>
            <w:pPr>
              <w:spacing w:after="60" w:before="0"/>
              <w:jc w:val="left"/>
            </w:pPr>
            <w:r>
              <w:rPr>
                <w:rFonts w:ascii="Arial" w:cs="Arial" w:eastAsia="Arial" w:hAnsi="Arial"/>
                <w:b w:val="false"/>
                <w:bCs w:val="false"/>
                <w:i w:val="false"/>
                <w:iCs w:val="false"/>
                <w:color w:val="7F6000"/>
                <w:sz w:val="20"/>
                <w:szCs w:val="20"/>
              </w:rPr>
              <w:t xml:space="preserve">entre dos hojas, la segunda se descarta para evitar doble conteo.</w:t>
            </w:r>
          </w:p>
        </w:tc>
      </w:tr>
    </w:tbl>
    <w:p>
      <w:pPr>
        <w:spacing w:after="80" w:before="0"/>
      </w:pPr>
      <w:r>
        <w:t xml:space="preserve"/>
      </w:r>
    </w:p>
    <w:p>
      <w:pPr>
        <w:pStyle w:val="Heading2"/>
        <w:pBdr>
          <w:bottom w:val="single" w:color="2E75B6" w:sz="6"/>
        </w:pBdr>
        <w:spacing w:after="100" w:before="240"/>
      </w:pPr>
      <w:r>
        <w:rPr>
          <w:rFonts w:ascii="Arial" w:cs="Arial" w:eastAsia="Arial" w:hAnsi="Arial"/>
          <w:b/>
          <w:bCs/>
          <w:color w:val="1F3864"/>
          <w:sz w:val="24"/>
          <w:szCs w:val="24"/>
        </w:rPr>
        <w:t xml:space="preserve">REGLA 5 — Agrupación del datafono por día de Fecha Vale</w:t>
      </w:r>
    </w:p>
    <w:p>
      <w:pPr>
        <w:spacing w:after="100" w:before="0"/>
        <w:jc w:val="left"/>
      </w:pPr>
      <w:r>
        <w:rPr>
          <w:rFonts w:ascii="Arial" w:cs="Arial" w:eastAsia="Arial" w:hAnsi="Arial"/>
          <w:b w:val="false"/>
          <w:bCs w:val="false"/>
          <w:i w:val="false"/>
          <w:iCs w:val="false"/>
          <w:color w:val="000000"/>
          <w:sz w:val="20"/>
          <w:szCs w:val="20"/>
        </w:rPr>
        <w:t xml:space="preserve">Antes de realizar el cruce, el sistema agrupa todas las transacciones del datafono por el día del mes de la columna Fecha Vale, sumando el Valor Neto. Esto produce un único valor por día que es el que se compara contra el auxiliar.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800"/>
        <w:gridCol w:w="1800"/>
      </w:tblGrid>
      <w:tr>
        <w:trPr>
          <w:tblHeader/>
        </w:trPr>
        <w:tc>
          <w:tcPr>
            <w:tcW w:type="dxa" w:w="3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Transacciones individuales (datafono)</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Fecha Vale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Valor Neto</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 Grupo día 6</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Vale 14570 — Terminal 9A0KZ673</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06/01/2026</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$171.782</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Vale 14572 — Terminal 9A0KZ673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06/01/2026</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$95.517</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Vale 14571 — Terminal 9A0KZ673</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06/01/2026</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$162.239</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Vale 14569 — Terminal 9A0KZ673</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06/01/2026</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$132.565</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Vale 14574 — Terminal 9A0KZ673</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06/01/2026</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$152.694</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 (otras 5 transacciones más)</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06/01/2026</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TOTAL DÍA 6</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$1.208.409</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 = Auxiliar</w:t>
            </w:r>
          </w:p>
        </w:tc>
      </w:tr>
    </w:tbl>
    <w:p>
      <w:pPr>
        <w:spacing w:after="80" w:before="0"/>
      </w:pPr>
      <w:r>
        <w:t xml:space="preserve"/>
      </w:r>
    </w:p>
    <w:p>
      <w:pPr>
        <w:pStyle w:val="Heading2"/>
        <w:pBdr>
          <w:bottom w:val="single" w:color="2E75B6" w:sz="6"/>
        </w:pBdr>
        <w:spacing w:after="100" w:before="240"/>
      </w:pPr>
      <w:r>
        <w:rPr>
          <w:rFonts w:ascii="Arial" w:cs="Arial" w:eastAsia="Arial" w:hAnsi="Arial"/>
          <w:b/>
          <w:bCs/>
          <w:color w:val="1F3864"/>
          <w:sz w:val="24"/>
          <w:szCs w:val="24"/>
        </w:rPr>
        <w:t xml:space="preserve">REGLA 6 — Cruce principal (lógica de conciliación)</w:t>
      </w:r>
    </w:p>
    <w:p>
      <w:pPr>
        <w:spacing w:after="80" w:before="0"/>
        <w:jc w:val="left"/>
      </w:pPr>
      <w:r>
        <w:rPr>
          <w:rFonts w:ascii="Arial" w:cs="Arial" w:eastAsia="Arial" w:hAnsi="Arial"/>
          <w:b w:val="false"/>
          <w:bCs w:val="false"/>
          <w:i w:val="false"/>
          <w:iCs w:val="false"/>
          <w:color w:val="000000"/>
          <w:sz w:val="20"/>
          <w:szCs w:val="20"/>
        </w:rPr>
        <w:t xml:space="preserve">El cruce entre el auxiliar y el datafono se realiza bajo tres condiciones simultáneas:</w:t>
      </w:r>
    </w:p>
    <w:p>
      <w:pPr>
        <w:pStyle w:val="ListParagraph"/>
        <w:numPr>
          <w:ilvl w:val="0"/>
          <w:numId w:val="2"/>
        </w:numPr>
        <w:spacing w:after="60" w:before="40"/>
      </w:pPr>
      <w:r>
        <w:rPr>
          <w:rFonts w:ascii="Arial" w:cs="Arial" w:eastAsia="Arial" w:hAnsi="Arial"/>
          <w:b w:val="false"/>
          <w:bCs w:val="false"/>
          <w:color w:val="000000"/>
          <w:sz w:val="20"/>
          <w:szCs w:val="20"/>
        </w:rPr>
        <w:t xml:space="preserve">El número al inicio de la Nota del auxiliar es igual al día de la Fecha Vale en el datafono.</w:t>
      </w:r>
    </w:p>
    <w:p>
      <w:pPr>
        <w:pStyle w:val="ListParagraph"/>
        <w:numPr>
          <w:ilvl w:val="0"/>
          <w:numId w:val="2"/>
        </w:numPr>
        <w:spacing w:after="60" w:before="40"/>
      </w:pPr>
      <w:r>
        <w:rPr>
          <w:rFonts w:ascii="Arial" w:cs="Arial" w:eastAsia="Arial" w:hAnsi="Arial"/>
          <w:b w:val="false"/>
          <w:bCs w:val="false"/>
          <w:color w:val="000000"/>
          <w:sz w:val="20"/>
          <w:szCs w:val="20"/>
        </w:rPr>
        <w:t xml:space="preserve">El año de la Fecha Vale coincide con el año del período configurado.</w:t>
      </w:r>
    </w:p>
    <w:p>
      <w:pPr>
        <w:pStyle w:val="ListParagraph"/>
        <w:numPr>
          <w:ilvl w:val="0"/>
          <w:numId w:val="2"/>
        </w:numPr>
        <w:spacing w:after="60" w:before="40"/>
      </w:pPr>
      <w:r>
        <w:rPr>
          <w:rFonts w:ascii="Arial" w:cs="Arial" w:eastAsia="Arial" w:hAnsi="Arial"/>
          <w:b w:val="false"/>
          <w:bCs w:val="false"/>
          <w:color w:val="000000"/>
          <w:sz w:val="20"/>
          <w:szCs w:val="20"/>
        </w:rPr>
        <w:t xml:space="preserve">El mes de la Fecha Vale coincide con el mes del período configurado.</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gridSpan w:val="1"/>
            <w:tcBorders>
              <w:top w:val="single" w:color="2E75B6" w:sz="8"/>
              <w:left w:val="single" w:color="2E75B6" w:sz="8"/>
              <w:bottom w:val="single" w:color="2E75B6" w:sz="8"/>
              <w:right w:val="single" w:color="2E75B6" w:sz="8"/>
            </w:tcBorders>
            <w:shd w:fill="2E75B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20"/>
                <w:szCs w:val="20"/>
              </w:rPr>
              <w:t xml:space="preserve">❌  Errores que NO se deben cometer (según instructivo gerencia)</w:t>
            </w:r>
          </w:p>
        </w:tc>
      </w:tr>
      <w:tr>
        <w:tc>
          <w:tcPr>
            <w:tcBorders>
              <w:top w:val="single" w:color="2E75B6" w:sz="8"/>
              <w:left w:val="single" w:color="2E75B6" w:sz="8"/>
              <w:bottom w:val="single" w:color="2E75B6" w:sz="8"/>
              <w:right w:val="single" w:color="2E75B6" w:sz="8"/>
            </w:tcBorders>
            <w:shd w:fill="FCE4D6" w:val="clear"/>
            <w:tcMar>
              <w:top w:type="dxa" w:w="100"/>
              <w:left w:type="dxa" w:w="180"/>
              <w:bottom w:type="dxa" w:w="100"/>
              <w:right w:type="dxa" w:w="180"/>
            </w:tcMar>
          </w:tcPr>
          <w:p>
            <w:pPr>
              <w:spacing w:after="60" w:before="0"/>
              <w:jc w:val="left"/>
            </w:pPr>
            <w:r>
              <w:rPr>
                <w:rFonts w:ascii="Arial" w:cs="Arial" w:eastAsia="Arial" w:hAnsi="Arial"/>
                <w:b w:val="false"/>
                <w:bCs w:val="false"/>
                <w:i w:val="false"/>
                <w:iCs w:val="false"/>
                <w:color w:val="843C0C"/>
                <w:sz w:val="20"/>
                <w:szCs w:val="20"/>
              </w:rPr>
              <w:t xml:space="preserve">✗  Cruzar por Fecha Vale directa vs. Fecha del auxiliar (siempre es el último día del mes).</w:t>
            </w:r>
          </w:p>
          <w:p>
            <w:pPr>
              <w:spacing w:after="60" w:before="0"/>
              <w:jc w:val="left"/>
            </w:pPr>
            <w:r>
              <w:rPr>
                <w:rFonts w:ascii="Arial" w:cs="Arial" w:eastAsia="Arial" w:hAnsi="Arial"/>
                <w:b w:val="false"/>
                <w:bCs w:val="false"/>
                <w:i w:val="false"/>
                <w:iCs w:val="false"/>
                <w:color w:val="843C0C"/>
                <w:sz w:val="20"/>
                <w:szCs w:val="20"/>
              </w:rPr>
              <w:t xml:space="preserve">✗  Usar Valor Consumo (bruto) en vez de Valor Neto.</w:t>
            </w:r>
          </w:p>
          <w:p>
            <w:pPr>
              <w:spacing w:after="60" w:before="0"/>
              <w:jc w:val="left"/>
            </w:pPr>
            <w:r>
              <w:rPr>
                <w:rFonts w:ascii="Arial" w:cs="Arial" w:eastAsia="Arial" w:hAnsi="Arial"/>
                <w:b w:val="false"/>
                <w:bCs w:val="false"/>
                <w:i w:val="false"/>
                <w:iCs w:val="false"/>
                <w:color w:val="843C0C"/>
                <w:sz w:val="20"/>
                <w:szCs w:val="20"/>
              </w:rPr>
              <w:t xml:space="preserve">✗  Cruzar por Fecha de Abono como campo principal (es solo referencia bancaria).</w:t>
            </w:r>
          </w:p>
          <w:p>
            <w:pPr>
              <w:spacing w:after="60" w:before="0"/>
              <w:jc w:val="left"/>
            </w:pPr>
            <w:r>
              <w:rPr>
                <w:rFonts w:ascii="Arial" w:cs="Arial" w:eastAsia="Arial" w:hAnsi="Arial"/>
                <w:b w:val="false"/>
                <w:bCs w:val="false"/>
                <w:i w:val="false"/>
                <w:iCs w:val="false"/>
                <w:color w:val="843C0C"/>
                <w:sz w:val="20"/>
                <w:szCs w:val="20"/>
              </w:rPr>
              <w:t xml:space="preserve">✗  Agrupar el datafono solo por fecha sin incluir el Bol. Ruta en el subdetalle.</w:t>
            </w:r>
          </w:p>
          <w:p>
            <w:pPr>
              <w:spacing w:after="60" w:before="0"/>
              <w:jc w:val="left"/>
            </w:pPr>
            <w:r>
              <w:rPr>
                <w:rFonts w:ascii="Arial" w:cs="Arial" w:eastAsia="Arial" w:hAnsi="Arial"/>
                <w:b w:val="false"/>
                <w:bCs w:val="false"/>
                <w:i w:val="false"/>
                <w:iCs w:val="false"/>
                <w:color w:val="843C0C"/>
                <w:sz w:val="20"/>
                <w:szCs w:val="20"/>
              </w:rPr>
              <w:t xml:space="preserve">✗  Eliminar o modificar filas originales del auxiliar.</w:t>
            </w:r>
          </w:p>
        </w:tc>
      </w:tr>
    </w:tbl>
    <w:p>
      <w:pPr>
        <w:spacing w:after="80" w:before="0"/>
      </w:pPr>
      <w:r>
        <w:t xml:space="preserve"/>
      </w:r>
    </w:p>
    <w:p>
      <w:pPr>
        <w:pStyle w:val="Heading2"/>
        <w:pBdr>
          <w:bottom w:val="single" w:color="2E75B6" w:sz="6"/>
        </w:pBdr>
        <w:spacing w:after="100" w:before="240"/>
      </w:pPr>
      <w:r>
        <w:rPr>
          <w:rFonts w:ascii="Arial" w:cs="Arial" w:eastAsia="Arial" w:hAnsi="Arial"/>
          <w:b/>
          <w:bCs/>
          <w:color w:val="1F3864"/>
          <w:sz w:val="24"/>
          <w:szCs w:val="24"/>
        </w:rPr>
        <w:t xml:space="preserve">REGLA 7 — Clasificación del resultado del cruce</w:t>
      </w:r>
    </w:p>
    <w:p>
      <w:pPr>
        <w:spacing w:after="100" w:before="0"/>
        <w:jc w:val="left"/>
      </w:pPr>
      <w:r>
        <w:rPr>
          <w:rFonts w:ascii="Arial" w:cs="Arial" w:eastAsia="Arial" w:hAnsi="Arial"/>
          <w:b w:val="false"/>
          <w:bCs w:val="false"/>
          <w:i w:val="false"/>
          <w:iCs w:val="false"/>
          <w:color w:val="000000"/>
          <w:sz w:val="20"/>
          <w:szCs w:val="20"/>
        </w:rPr>
        <w:t xml:space="preserve">Cada registro del auxiliar recibe uno de cuatro estados según el resultado del cruce: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80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Estado</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Descripción</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Acción requerida</w:t>
            </w:r>
          </w:p>
        </w:tc>
      </w:tr>
      <w:tr>
        <w:tc>
          <w:tcPr>
            <w:tcW w:type="dxa" w:w="20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375623"/>
                <w:sz w:val="18"/>
                <w:szCs w:val="18"/>
              </w:rPr>
              <w:t xml:space="preserve">✔  CUADRA</w:t>
            </w:r>
          </w:p>
        </w:tc>
        <w:tc>
          <w:tcPr>
            <w:tcW w:type="dxa" w:w="4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5623"/>
                <w:sz w:val="18"/>
                <w:szCs w:val="18"/>
              </w:rPr>
              <w:t xml:space="preserve">Diferencia &lt; $1. Registro conciliado.</w:t>
            </w:r>
          </w:p>
        </w:tc>
        <w:tc>
          <w:tcPr>
            <w:tcW w:type="dxa" w:w="28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5623"/>
                <w:sz w:val="18"/>
                <w:szCs w:val="18"/>
              </w:rPr>
              <w:t xml:space="preserve">Ninguna — archivar.</w:t>
            </w:r>
          </w:p>
        </w:tc>
      </w:tr>
      <w:tr>
        <w:tc>
          <w:tcPr>
            <w:tcW w:type="dxa" w:w="20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7F6000"/>
                <w:sz w:val="18"/>
                <w:szCs w:val="18"/>
              </w:rPr>
              <w:t xml:space="preserve">⚠  DIF. MENOR</w:t>
            </w:r>
          </w:p>
        </w:tc>
        <w:tc>
          <w:tcPr>
            <w:tcW w:type="dxa" w:w="4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7F6000"/>
                <w:sz w:val="18"/>
                <w:szCs w:val="18"/>
              </w:rPr>
              <w:t xml:space="preserve">Diferencia ≤ 5% del valor auxiliar. Posible comisión, retención o redondeo de centavos.</w:t>
            </w:r>
          </w:p>
        </w:tc>
        <w:tc>
          <w:tcPr>
            <w:tcW w:type="dxa" w:w="28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7F6000"/>
                <w:sz w:val="18"/>
                <w:szCs w:val="18"/>
              </w:rPr>
              <w:t xml:space="preserve">Documentar causa y aprobar.</w:t>
            </w:r>
          </w:p>
        </w:tc>
      </w:tr>
      <w:tr>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843C0C"/>
                <w:sz w:val="18"/>
                <w:szCs w:val="18"/>
              </w:rPr>
              <w:t xml:space="preserve">❌  DIFERENCIA</w:t>
            </w:r>
          </w:p>
        </w:tc>
        <w:tc>
          <w:tcPr>
            <w:tcW w:type="dxa" w:w="4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843C0C"/>
                <w:sz w:val="18"/>
                <w:szCs w:val="18"/>
              </w:rPr>
              <w:t xml:space="preserve">Diferencia &gt; 5%. Valor del datafono no corresponde al auxiliar.</w:t>
            </w:r>
          </w:p>
        </w:tc>
        <w:tc>
          <w:tcPr>
            <w:tcW w:type="dxa" w:w="2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843C0C"/>
                <w:sz w:val="18"/>
                <w:szCs w:val="18"/>
              </w:rPr>
              <w:t xml:space="preserve">Revisión manual obligatoria.</w:t>
            </w:r>
          </w:p>
        </w:tc>
      </w:tr>
      <w:tr>
        <w:tc>
          <w:tcPr>
            <w:tcW w:type="dxa" w:w="20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843C0C"/>
                <w:sz w:val="18"/>
                <w:szCs w:val="18"/>
              </w:rPr>
              <w:t xml:space="preserve">❌  SIN MATCH</w:t>
            </w:r>
          </w:p>
        </w:tc>
        <w:tc>
          <w:tcPr>
            <w:tcW w:type="dxa" w:w="4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843C0C"/>
                <w:sz w:val="18"/>
                <w:szCs w:val="18"/>
              </w:rPr>
              <w:t xml:space="preserve">No se encontró ningún grupo en el datafono para ese día y sede.</w:t>
            </w:r>
          </w:p>
        </w:tc>
        <w:tc>
          <w:tcPr>
            <w:tcW w:type="dxa" w:w="28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843C0C"/>
                <w:sz w:val="18"/>
                <w:szCs w:val="18"/>
              </w:rPr>
              <w:t xml:space="preserve">Verificar archivo datafono o registro auxiliar.</w:t>
            </w:r>
          </w:p>
        </w:tc>
      </w:tr>
    </w:tbl>
    <w:p>
      <w:pPr>
        <w:spacing w:after="80" w:before="0"/>
      </w:pPr>
      <w:r>
        <w:t xml:space="preserve"/>
      </w:r>
    </w:p>
    <w:p>
      <w:pPr>
        <w:pStyle w:val="Heading2"/>
        <w:pBdr>
          <w:bottom w:val="single" w:color="2E75B6" w:sz="6"/>
        </w:pBdr>
        <w:spacing w:after="100" w:before="240"/>
      </w:pPr>
      <w:r>
        <w:rPr>
          <w:rFonts w:ascii="Arial" w:cs="Arial" w:eastAsia="Arial" w:hAnsi="Arial"/>
          <w:b/>
          <w:bCs/>
          <w:color w:val="1F3864"/>
          <w:sz w:val="24"/>
          <w:szCs w:val="24"/>
        </w:rPr>
        <w:t xml:space="preserve">REGLA 8 — Detalle de Bol. Ruta para soporte bancario</w:t>
      </w:r>
    </w:p>
    <w:p>
      <w:pPr>
        <w:spacing w:after="100" w:before="0"/>
        <w:jc w:val="left"/>
      </w:pPr>
      <w:r>
        <w:rPr>
          <w:rFonts w:ascii="Arial" w:cs="Arial" w:eastAsia="Arial" w:hAnsi="Arial"/>
          <w:b w:val="false"/>
          <w:bCs w:val="false"/>
          <w:i w:val="false"/>
          <w:iCs w:val="false"/>
          <w:color w:val="000000"/>
          <w:sz w:val="20"/>
          <w:szCs w:val="20"/>
        </w:rPr>
        <w:t xml:space="preserve">Aunque el cruce principal se realiza a nivel de día de Fecha Vale, el sistema genera adicionalmente un subdetalle por (Fecha de Abono + Bol. Ruta) debajo de cada fila del auxiliar. Este subdetalle sirve exclusivamente como soporte ante revisoría fiscal y auditoría bancaria — permite rastrear exactamente qué abono bancario corresponde a qué grupo de ventas.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80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Nivel</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Campo clave</w:t>
            </w:r>
          </w:p>
        </w:tc>
        <w:tc>
          <w:tcPr>
            <w:tcW w:type="dxa" w:w="3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Uso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Cruce principal</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Fecha Vale (día)</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Determina si el registro cuadra o tiene diferencia.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Subdetalle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Bol. Ruta</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Identifica el Boletín de liquidación de la red.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Subdetalle</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Fecha de Abono</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Confirma cuándo llegó el dinero al banco.</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Subdetalle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Valor Neto x Bol</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Suma parcial por cada boletín de abono.</w:t>
            </w:r>
          </w:p>
        </w:tc>
      </w:tr>
    </w:tbl>
    <w:p>
      <w:pPr>
        <w:spacing w:after="80" w:before="0"/>
      </w:pPr>
      <w:r>
        <w:t xml:space="preserve"/>
      </w:r>
    </w:p>
    <w:p>
      <w:pPr>
        <w:pStyle w:val="Heading2"/>
        <w:pBdr>
          <w:bottom w:val="single" w:color="2E75B6" w:sz="6"/>
        </w:pBdr>
        <w:spacing w:after="100" w:before="240"/>
      </w:pPr>
      <w:r>
        <w:rPr>
          <w:rFonts w:ascii="Arial" w:cs="Arial" w:eastAsia="Arial" w:hAnsi="Arial"/>
          <w:b/>
          <w:bCs/>
          <w:color w:val="1F3864"/>
          <w:sz w:val="24"/>
          <w:szCs w:val="24"/>
        </w:rPr>
        <w:t xml:space="preserve">REGLA 9 — Valor conciliable: Valor Neto</w:t>
      </w:r>
    </w:p>
    <w:p>
      <w:pPr>
        <w:spacing w:after="100" w:before="0"/>
        <w:jc w:val="left"/>
      </w:pPr>
      <w:r>
        <w:rPr>
          <w:rFonts w:ascii="Arial" w:cs="Arial" w:eastAsia="Arial" w:hAnsi="Arial"/>
          <w:b w:val="false"/>
          <w:bCs w:val="false"/>
          <w:i w:val="false"/>
          <w:iCs w:val="false"/>
          <w:color w:val="000000"/>
          <w:sz w:val="20"/>
          <w:szCs w:val="20"/>
        </w:rPr>
        <w:t xml:space="preserve">El valor que se utiliza para el cruce es siempre el Valor Neto reportado por la red de captura electrónica. Este valor ya tiene descontadas las comisiones de la red, la retención en la fuente, la retención de IVA y la retención de ICA (cuando aplica). El auxiliar contable registra este mismo valor neto porque es lo que efectivamente entra a la cuenta bancaria.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800"/>
      </w:tblGrid>
      <w:tr>
        <w:trPr>
          <w:tblHeader/>
        </w:trPr>
        <w:tc>
          <w:tcPr>
            <w:tcW w:type="dxa" w:w="4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Concepto</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Valor ejemplo</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Incluido en Valor Neto</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Valor de la venta (Valor Consumo)</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$209.900</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No — es el bruto</w:t>
            </w:r>
          </w:p>
        </w:tc>
      </w:tr>
      <w:t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Comisión de la red</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($5.373)</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Sí — ya descontada</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Retención en la fuente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($3.149)</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Sí — ya descontada</w:t>
            </w:r>
          </w:p>
        </w:tc>
      </w:tr>
      <w:t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Retención de IVA</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$0</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Sí — ya descontada</w:t>
            </w:r>
          </w:p>
        </w:tc>
      </w:tr>
      <w:tr>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Retención de ICA</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($1.050)</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Sí — ya descontada</w:t>
            </w:r>
          </w:p>
        </w:tc>
      </w:tr>
      <w:tr>
        <w:tc>
          <w:tcPr>
            <w:tcW w:type="dxa" w:w="4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VALOR NETO acreditado al banco</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$200.328</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 Este es el valor que cuadra</w:t>
            </w:r>
          </w:p>
        </w:tc>
      </w:tr>
    </w:tbl>
    <w:p>
      <w:pPr>
        <w:spacing w:after="80" w:before="0"/>
      </w:pPr>
      <w:r>
        <w:t xml:space="preserve"/>
      </w:r>
    </w:p>
    <w:p>
      <w:pPr>
        <w:pStyle w:val="Heading2"/>
        <w:pBdr>
          <w:bottom w:val="single" w:color="2E75B6" w:sz="6"/>
        </w:pBdr>
        <w:spacing w:after="100" w:before="240"/>
      </w:pPr>
      <w:r>
        <w:rPr>
          <w:rFonts w:ascii="Arial" w:cs="Arial" w:eastAsia="Arial" w:hAnsi="Arial"/>
          <w:b/>
          <w:bCs/>
          <w:color w:val="1F3864"/>
          <w:sz w:val="24"/>
          <w:szCs w:val="24"/>
        </w:rPr>
        <w:t xml:space="preserve">REGLA 10 — Integridad de los archivos originales</w:t>
      </w:r>
    </w:p>
    <w:p>
      <w:pPr>
        <w:pStyle w:val="ListParagraph"/>
        <w:numPr>
          <w:ilvl w:val="0"/>
          <w:numId w:val="2"/>
        </w:numPr>
        <w:spacing w:after="60" w:before="40"/>
      </w:pPr>
      <w:r>
        <w:rPr>
          <w:rFonts w:ascii="Arial" w:cs="Arial" w:eastAsia="Arial" w:hAnsi="Arial"/>
          <w:b w:val="false"/>
          <w:bCs w:val="false"/>
          <w:color w:val="000000"/>
          <w:sz w:val="20"/>
          <w:szCs w:val="20"/>
        </w:rPr>
        <w:t xml:space="preserve">Los archivos originales del auxiliar y del datafono nunca son modificados.</w:t>
      </w:r>
    </w:p>
    <w:p>
      <w:pPr>
        <w:pStyle w:val="ListParagraph"/>
        <w:numPr>
          <w:ilvl w:val="0"/>
          <w:numId w:val="2"/>
        </w:numPr>
        <w:spacing w:after="60" w:before="40"/>
      </w:pPr>
      <w:r>
        <w:rPr>
          <w:rFonts w:ascii="Arial" w:cs="Arial" w:eastAsia="Arial" w:hAnsi="Arial"/>
          <w:b w:val="false"/>
          <w:bCs w:val="false"/>
          <w:color w:val="000000"/>
          <w:sz w:val="20"/>
          <w:szCs w:val="20"/>
        </w:rPr>
        <w:t xml:space="preserve">El motor opera sobre copias en memoria — ningún dato fuente se altera.</w:t>
      </w:r>
    </w:p>
    <w:p>
      <w:pPr>
        <w:pStyle w:val="ListParagraph"/>
        <w:numPr>
          <w:ilvl w:val="0"/>
          <w:numId w:val="2"/>
        </w:numPr>
        <w:spacing w:after="60" w:before="40"/>
      </w:pPr>
      <w:r>
        <w:rPr>
          <w:rFonts w:ascii="Arial" w:cs="Arial" w:eastAsia="Arial" w:hAnsi="Arial"/>
          <w:b w:val="false"/>
          <w:bCs w:val="false"/>
          <w:color w:val="000000"/>
          <w:sz w:val="20"/>
          <w:szCs w:val="20"/>
        </w:rPr>
        <w:t xml:space="preserve">El reporte de conciliación es un archivo nuevo separado de las fuentes.</w:t>
      </w:r>
    </w:p>
    <w:p>
      <w:pPr>
        <w:pStyle w:val="ListParagraph"/>
        <w:numPr>
          <w:ilvl w:val="0"/>
          <w:numId w:val="2"/>
        </w:numPr>
        <w:spacing w:after="60" w:before="40"/>
      </w:pPr>
      <w:r>
        <w:rPr>
          <w:rFonts w:ascii="Arial" w:cs="Arial" w:eastAsia="Arial" w:hAnsi="Arial"/>
          <w:b w:val="false"/>
          <w:bCs w:val="false"/>
          <w:color w:val="000000"/>
          <w:sz w:val="20"/>
          <w:szCs w:val="20"/>
        </w:rPr>
        <w:t xml:space="preserve">El nombre del archivo de salida incluye la sede y la marca de tiempo del proceso (ej.: CONCILIACION_DF_ENVIGADO_20260110_1430.xlsx).</w:t>
      </w:r>
    </w:p>
    <w:p>
      <w:pPr>
        <w:spacing w:after="80" w:before="0"/>
      </w:pPr>
      <w:r>
        <w:t xml:space="preserve"/>
      </w:r>
    </w:p>
    <w:p>
      <w:pPr>
        <w:pStyle w:val="Heading2"/>
        <w:pBdr>
          <w:bottom w:val="single" w:color="2E75B6" w:sz="6"/>
        </w:pBdr>
        <w:spacing w:after="100" w:before="240"/>
      </w:pPr>
      <w:r>
        <w:rPr>
          <w:rFonts w:ascii="Arial" w:cs="Arial" w:eastAsia="Arial" w:hAnsi="Arial"/>
          <w:b/>
          <w:bCs/>
          <w:color w:val="1F3864"/>
          <w:sz w:val="24"/>
          <w:szCs w:val="24"/>
        </w:rPr>
        <w:t xml:space="preserve">REGLA 11 — Criterio contable (NIIF PYMES / DIAN Colombia)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4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Momento contable</w:t>
            </w:r>
          </w:p>
        </w:tc>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Fecha utilizada</w:t>
            </w:r>
          </w:p>
        </w:tc>
        <w:tc>
          <w:tcPr>
            <w:tcW w:type="dxa" w:w="3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Normativa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Reconocimiento del ingreso</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Fecha Vale</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NIIF para PYMES — principio de devengo (Decreto 2420 de 2015)</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Conciliación bancaria</w:t>
            </w:r>
          </w:p>
        </w:tc>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Fecha de Abono</w:t>
            </w:r>
          </w:p>
        </w:tc>
        <w:tc>
          <w:tcPr>
            <w:tcW w:type="dxa" w:w="3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NIC 7 — Estado de Flujos de Efectivo (incorporada a NIIF PYMES)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Base para el cruce</w:t>
            </w:r>
          </w:p>
        </w:tc>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Fecha Vale (día)</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Validado con datos reales: 30/30 cuadran con este criterio</w:t>
            </w:r>
          </w:p>
        </w:tc>
      </w:tr>
    </w:tbl>
    <w:p>
      <w:pPr>
        <w:spacing w:after="80" w:before="0"/>
      </w:pPr>
      <w:r>
        <w:t xml:space="preserve"/>
      </w:r>
    </w:p>
    <w:p>
      <w:pPr>
        <w:pStyle w:val="Heading2"/>
        <w:pBdr>
          <w:bottom w:val="single" w:color="2E75B6" w:sz="6"/>
        </w:pBdr>
        <w:spacing w:after="100" w:before="240"/>
      </w:pPr>
      <w:r>
        <w:rPr>
          <w:rFonts w:ascii="Arial" w:cs="Arial" w:eastAsia="Arial" w:hAnsi="Arial"/>
          <w:b/>
          <w:bCs/>
          <w:color w:val="1F3864"/>
          <w:sz w:val="24"/>
          <w:szCs w:val="24"/>
        </w:rPr>
        <w:t xml:space="preserve">REGLA 12 — Escalabilidad: múltiples sedes y períodos</w:t>
      </w:r>
    </w:p>
    <w:p>
      <w:pPr>
        <w:pStyle w:val="ListParagraph"/>
        <w:numPr>
          <w:ilvl w:val="0"/>
          <w:numId w:val="2"/>
        </w:numPr>
        <w:spacing w:after="60" w:before="40"/>
      </w:pPr>
      <w:r>
        <w:rPr>
          <w:rFonts w:ascii="Arial" w:cs="Arial" w:eastAsia="Arial" w:hAnsi="Arial"/>
          <w:b w:val="false"/>
          <w:bCs w:val="false"/>
          <w:color w:val="000000"/>
          <w:sz w:val="20"/>
          <w:szCs w:val="20"/>
        </w:rPr>
        <w:t xml:space="preserve">El sistema soporta hasta 20 archivos de datafono simultáneos (una por sede).</w:t>
      </w:r>
    </w:p>
    <w:p>
      <w:pPr>
        <w:pStyle w:val="ListParagraph"/>
        <w:numPr>
          <w:ilvl w:val="0"/>
          <w:numId w:val="2"/>
        </w:numPr>
        <w:spacing w:after="60" w:before="40"/>
      </w:pPr>
      <w:r>
        <w:rPr>
          <w:rFonts w:ascii="Arial" w:cs="Arial" w:eastAsia="Arial" w:hAnsi="Arial"/>
          <w:b w:val="false"/>
          <w:bCs w:val="false"/>
          <w:color w:val="000000"/>
          <w:sz w:val="20"/>
          <w:szCs w:val="20"/>
        </w:rPr>
        <w:t xml:space="preserve">La sede se identifica automáticamente por el nombre del archivo (datafono_SEDE.xlsx).</w:t>
      </w:r>
    </w:p>
    <w:p>
      <w:pPr>
        <w:pStyle w:val="ListParagraph"/>
        <w:numPr>
          <w:ilvl w:val="0"/>
          <w:numId w:val="2"/>
        </w:numPr>
        <w:spacing w:after="60" w:before="40"/>
      </w:pPr>
      <w:r>
        <w:rPr>
          <w:rFonts w:ascii="Arial" w:cs="Arial" w:eastAsia="Arial" w:hAnsi="Arial"/>
          <w:b w:val="false"/>
          <w:bCs w:val="false"/>
          <w:color w:val="000000"/>
          <w:sz w:val="20"/>
          <w:szCs w:val="20"/>
        </w:rPr>
        <w:t xml:space="preserve">El período se configura ingresando año y mes; el sistema filtra las transacciones correspondientes.</w:t>
      </w:r>
    </w:p>
    <w:p>
      <w:pPr>
        <w:pStyle w:val="ListParagraph"/>
        <w:numPr>
          <w:ilvl w:val="0"/>
          <w:numId w:val="2"/>
        </w:numPr>
        <w:spacing w:after="60" w:before="40"/>
      </w:pPr>
      <w:r>
        <w:rPr>
          <w:rFonts w:ascii="Arial" w:cs="Arial" w:eastAsia="Arial" w:hAnsi="Arial"/>
          <w:b w:val="false"/>
          <w:bCs w:val="false"/>
          <w:color w:val="000000"/>
          <w:sz w:val="20"/>
          <w:szCs w:val="20"/>
        </w:rPr>
        <w:t xml:space="preserve">Para agregar una nueva sede no se requiere modificar el código — solo cargar el archivo con el nombre correcto.</w:t>
      </w:r>
    </w:p>
    <w:p>
      <w:pPr>
        <w:pStyle w:val="ListParagraph"/>
        <w:numPr>
          <w:ilvl w:val="0"/>
          <w:numId w:val="2"/>
        </w:numPr>
        <w:spacing w:after="60" w:before="40"/>
      </w:pPr>
      <w:r>
        <w:rPr>
          <w:rFonts w:ascii="Arial" w:cs="Arial" w:eastAsia="Arial" w:hAnsi="Arial"/>
          <w:b w:val="false"/>
          <w:bCs w:val="false"/>
          <w:color w:val="000000"/>
          <w:sz w:val="20"/>
          <w:szCs w:val="20"/>
        </w:rPr>
        <w:t xml:space="preserve">Las 14 sedes activas identificadas en Enero 2026 son:</w:t>
      </w:r>
    </w:p>
    <w:p>
      <w:pPr>
        <w:pStyle w:val="ListParagraph"/>
        <w:numPr>
          <w:ilvl w:val="0"/>
          <w:numId w:val="3"/>
        </w:numPr>
        <w:spacing w:after="40" w:before="20"/>
      </w:pPr>
      <w:r>
        <w:rPr>
          <w:rFonts w:ascii="Arial" w:cs="Arial" w:eastAsia="Arial" w:hAnsi="Arial"/>
          <w:color w:val="444444"/>
          <w:sz w:val="20"/>
          <w:szCs w:val="20"/>
        </w:rPr>
        <w:t xml:space="preserve">Buenavista · Chipichape · Edén · Envigado · Fabricato</w:t>
      </w:r>
    </w:p>
    <w:p>
      <w:pPr>
        <w:pStyle w:val="ListParagraph"/>
        <w:numPr>
          <w:ilvl w:val="0"/>
          <w:numId w:val="3"/>
        </w:numPr>
        <w:spacing w:after="40" w:before="20"/>
      </w:pPr>
      <w:r>
        <w:rPr>
          <w:rFonts w:ascii="Arial" w:cs="Arial" w:eastAsia="Arial" w:hAnsi="Arial"/>
          <w:color w:val="444444"/>
          <w:sz w:val="20"/>
          <w:szCs w:val="20"/>
        </w:rPr>
        <w:t xml:space="preserve">Jardín Plaza · Mercurio · Molinos · Nuestro · Pereira</w:t>
      </w:r>
    </w:p>
    <w:p>
      <w:pPr>
        <w:pStyle w:val="ListParagraph"/>
        <w:numPr>
          <w:ilvl w:val="0"/>
          <w:numId w:val="3"/>
        </w:numPr>
        <w:spacing w:after="40" w:before="20"/>
      </w:pPr>
      <w:r>
        <w:rPr>
          <w:rFonts w:ascii="Arial" w:cs="Arial" w:eastAsia="Arial" w:hAnsi="Arial"/>
          <w:color w:val="444444"/>
          <w:sz w:val="20"/>
          <w:szCs w:val="20"/>
        </w:rPr>
        <w:t xml:space="preserve">Puerta del Norte · Santa Fe · Serrezuela · Sincelejo</w:t>
      </w:r>
    </w:p>
    <w:p>
      <w:pPr>
        <w:spacing w:after="80" w:before="0"/>
      </w:pPr>
      <w:r>
        <w:t xml:space="preserve"/>
      </w:r>
    </w:p>
    <w:p>
      <w:r>
        <w:br w:type="page"/>
      </w:r>
    </w:p>
    <w:p>
      <w:pPr>
        <w:pStyle w:val="Heading1"/>
        <w:shd w:fill="1F3864" w:val="clear"/>
        <w:spacing w:after="160" w:before="280"/>
      </w:pPr>
      <w:r>
        <w:rPr>
          <w:rFonts w:ascii="Arial" w:cs="Arial" w:eastAsia="Arial" w:hAnsi="Arial"/>
          <w:b/>
          <w:bCs/>
          <w:color w:val="FFFFFF"/>
          <w:sz w:val="28"/>
          <w:szCs w:val="28"/>
        </w:rPr>
        <w:t xml:space="preserve">4.  Log de auditoría y trazabilidad</w:t>
      </w:r>
    </w:p>
    <w:p>
      <w:pPr>
        <w:spacing w:after="80" w:before="0"/>
        <w:jc w:val="left"/>
      </w:pPr>
      <w:r>
        <w:rPr>
          <w:rFonts w:ascii="Arial" w:cs="Arial" w:eastAsia="Arial" w:hAnsi="Arial"/>
          <w:b w:val="false"/>
          <w:bCs w:val="false"/>
          <w:i w:val="false"/>
          <w:iCs w:val="false"/>
          <w:color w:val="000000"/>
          <w:sz w:val="20"/>
          <w:szCs w:val="20"/>
        </w:rPr>
        <w:t xml:space="preserve">Cada ejecución del sistema genera automáticamente una hoja 'LOG_AUDITORIA' dentro del archivo de resultado. Esta hoja registra:</w:t>
      </w:r>
    </w:p>
    <w:p>
      <w:pPr>
        <w:pStyle w:val="ListParagraph"/>
        <w:numPr>
          <w:ilvl w:val="0"/>
          <w:numId w:val="2"/>
        </w:numPr>
        <w:spacing w:after="60" w:before="40"/>
      </w:pPr>
      <w:r>
        <w:rPr>
          <w:rFonts w:ascii="Arial" w:cs="Arial" w:eastAsia="Arial" w:hAnsi="Arial"/>
          <w:b w:val="false"/>
          <w:bCs w:val="false"/>
          <w:color w:val="000000"/>
          <w:sz w:val="20"/>
          <w:szCs w:val="20"/>
        </w:rPr>
        <w:t xml:space="preserve">Fecha y hora exacta del proceso.</w:t>
      </w:r>
    </w:p>
    <w:p>
      <w:pPr>
        <w:pStyle w:val="ListParagraph"/>
        <w:numPr>
          <w:ilvl w:val="0"/>
          <w:numId w:val="2"/>
        </w:numPr>
        <w:spacing w:after="60" w:before="40"/>
      </w:pPr>
      <w:r>
        <w:rPr>
          <w:rFonts w:ascii="Arial" w:cs="Arial" w:eastAsia="Arial" w:hAnsi="Arial"/>
          <w:b w:val="false"/>
          <w:bCs w:val="false"/>
          <w:color w:val="000000"/>
          <w:sz w:val="20"/>
          <w:szCs w:val="20"/>
        </w:rPr>
        <w:t xml:space="preserve">Sede y período conciliados.</w:t>
      </w:r>
    </w:p>
    <w:p>
      <w:pPr>
        <w:pStyle w:val="ListParagraph"/>
        <w:numPr>
          <w:ilvl w:val="0"/>
          <w:numId w:val="2"/>
        </w:numPr>
        <w:spacing w:after="60" w:before="40"/>
      </w:pPr>
      <w:r>
        <w:rPr>
          <w:rFonts w:ascii="Arial" w:cs="Arial" w:eastAsia="Arial" w:hAnsi="Arial"/>
          <w:b w:val="false"/>
          <w:bCs w:val="false"/>
          <w:color w:val="000000"/>
          <w:sz w:val="20"/>
          <w:szCs w:val="20"/>
        </w:rPr>
        <w:t xml:space="preserve">Versión del motor utilizado.</w:t>
      </w:r>
    </w:p>
    <w:p>
      <w:pPr>
        <w:pStyle w:val="ListParagraph"/>
        <w:numPr>
          <w:ilvl w:val="0"/>
          <w:numId w:val="2"/>
        </w:numPr>
        <w:spacing w:after="60" w:before="40"/>
      </w:pPr>
      <w:r>
        <w:rPr>
          <w:rFonts w:ascii="Arial" w:cs="Arial" w:eastAsia="Arial" w:hAnsi="Arial"/>
          <w:b w:val="false"/>
          <w:bCs w:val="false"/>
          <w:color w:val="000000"/>
          <w:sz w:val="20"/>
          <w:szCs w:val="20"/>
        </w:rPr>
        <w:t xml:space="preserve">Normativa aplicada (NIIF PYMES / DIAN).</w:t>
      </w:r>
    </w:p>
    <w:p>
      <w:pPr>
        <w:pStyle w:val="ListParagraph"/>
        <w:numPr>
          <w:ilvl w:val="0"/>
          <w:numId w:val="2"/>
        </w:numPr>
        <w:spacing w:after="60" w:before="40"/>
      </w:pPr>
      <w:r>
        <w:rPr>
          <w:rFonts w:ascii="Arial" w:cs="Arial" w:eastAsia="Arial" w:hAnsi="Arial"/>
          <w:b w:val="false"/>
          <w:bCs w:val="false"/>
          <w:color w:val="000000"/>
          <w:sz w:val="20"/>
          <w:szCs w:val="20"/>
        </w:rPr>
        <w:t xml:space="preserve">Lógica de cruce y parámetros de tolerancia.</w:t>
      </w:r>
    </w:p>
    <w:p>
      <w:pPr>
        <w:pStyle w:val="ListParagraph"/>
        <w:numPr>
          <w:ilvl w:val="0"/>
          <w:numId w:val="2"/>
        </w:numPr>
        <w:spacing w:after="60" w:before="40"/>
      </w:pPr>
      <w:r>
        <w:rPr>
          <w:rFonts w:ascii="Arial" w:cs="Arial" w:eastAsia="Arial" w:hAnsi="Arial"/>
          <w:b w:val="false"/>
          <w:bCs w:val="false"/>
          <w:color w:val="000000"/>
          <w:sz w:val="20"/>
          <w:szCs w:val="20"/>
        </w:rPr>
        <w:t xml:space="preserve">Confirmación de que los archivos originales no fueron modificados.</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gridSpan w:val="1"/>
            <w:tcBorders>
              <w:top w:val="single" w:color="2E75B6" w:sz="8"/>
              <w:left w:val="single" w:color="2E75B6" w:sz="8"/>
              <w:bottom w:val="single" w:color="2E75B6" w:sz="8"/>
              <w:right w:val="single" w:color="2E75B6" w:sz="8"/>
            </w:tcBorders>
            <w:shd w:fill="2E75B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20"/>
                <w:szCs w:val="20"/>
              </w:rPr>
              <w:t xml:space="preserve">Destino del log de auditoría</w:t>
            </w:r>
          </w:p>
        </w:tc>
      </w:tr>
      <w:tr>
        <w:tc>
          <w:tcPr>
            <w:tcBorders>
              <w:top w:val="single" w:color="2E75B6" w:sz="8"/>
              <w:left w:val="single" w:color="2E75B6" w:sz="8"/>
              <w:bottom w:val="single" w:color="2E75B6" w:sz="8"/>
              <w:right w:val="single" w:color="2E75B6" w:sz="8"/>
            </w:tcBorders>
            <w:shd w:fill="DDEBF7" w:val="clear"/>
            <w:tcMar>
              <w:top w:type="dxa" w:w="100"/>
              <w:left w:type="dxa" w:w="180"/>
              <w:bottom w:type="dxa" w:w="100"/>
              <w:right w:type="dxa" w:w="180"/>
            </w:tcMar>
          </w:tcPr>
          <w:p>
            <w:pPr>
              <w:spacing w:after="60" w:before="0"/>
              <w:jc w:val="left"/>
            </w:pPr>
            <w:r>
              <w:rPr>
                <w:rFonts w:ascii="Arial" w:cs="Arial" w:eastAsia="Arial" w:hAnsi="Arial"/>
                <w:b w:val="false"/>
                <w:bCs w:val="false"/>
                <w:i w:val="false"/>
                <w:iCs w:val="false"/>
                <w:color w:val="1F3864"/>
                <w:sz w:val="20"/>
                <w:szCs w:val="20"/>
              </w:rPr>
              <w:t xml:space="preserve">El archivo de conciliación generado (incluyendo el log) debe:</w:t>
            </w:r>
          </w:p>
          <w:p>
            <w:pPr>
              <w:spacing w:after="60" w:before="0"/>
              <w:jc w:val="left"/>
            </w:pPr>
            <w:r>
              <w:rPr>
                <w:rFonts w:ascii="Arial" w:cs="Arial" w:eastAsia="Arial" w:hAnsi="Arial"/>
                <w:b w:val="false"/>
                <w:bCs w:val="false"/>
                <w:i w:val="false"/>
                <w:iCs w:val="false"/>
                <w:color w:val="1F3864"/>
                <w:sz w:val="20"/>
                <w:szCs w:val="20"/>
              </w:rPr>
              <w:t xml:space="preserve">  1. Guardarse en la carpeta compartida del departamento contable.</w:t>
            </w:r>
          </w:p>
          <w:p>
            <w:pPr>
              <w:spacing w:after="60" w:before="0"/>
              <w:jc w:val="left"/>
            </w:pPr>
            <w:r>
              <w:rPr>
                <w:rFonts w:ascii="Arial" w:cs="Arial" w:eastAsia="Arial" w:hAnsi="Arial"/>
                <w:b w:val="false"/>
                <w:bCs w:val="false"/>
                <w:i w:val="false"/>
                <w:iCs w:val="false"/>
                <w:color w:val="1F3864"/>
                <w:sz w:val="20"/>
                <w:szCs w:val="20"/>
              </w:rPr>
              <w:t xml:space="preserve">  2. Servir como soporte ante la Revisoría Fiscal (KPMG Ltda.).</w:t>
            </w:r>
          </w:p>
          <w:p>
            <w:pPr>
              <w:spacing w:after="60" w:before="0"/>
              <w:jc w:val="left"/>
            </w:pPr>
            <w:r>
              <w:rPr>
                <w:rFonts w:ascii="Arial" w:cs="Arial" w:eastAsia="Arial" w:hAnsi="Arial"/>
                <w:b w:val="false"/>
                <w:bCs w:val="false"/>
                <w:i w:val="false"/>
                <w:iCs w:val="false"/>
                <w:color w:val="1F3864"/>
                <w:sz w:val="20"/>
                <w:szCs w:val="20"/>
              </w:rPr>
              <w:t xml:space="preserve">  3. Estar disponible para consulta de la DIAN ante requerimientos.</w:t>
            </w:r>
          </w:p>
          <w:p>
            <w:pPr>
              <w:spacing w:after="60" w:before="0"/>
              <w:jc w:val="left"/>
            </w:pPr>
            <w:r>
              <w:rPr>
                <w:rFonts w:ascii="Arial" w:cs="Arial" w:eastAsia="Arial" w:hAnsi="Arial"/>
                <w:b w:val="false"/>
                <w:bCs w:val="false"/>
                <w:i w:val="false"/>
                <w:iCs w:val="false"/>
                <w:color w:val="1F3864"/>
                <w:sz w:val="20"/>
                <w:szCs w:val="20"/>
              </w:rPr>
              <w:t xml:space="preserve">  4. Nombrarse con el formato: CONCILIACION_DF_SEDE_YYYYMMDD_HHMM.xlsx</w:t>
            </w:r>
          </w:p>
        </w:tc>
      </w:tr>
    </w:tbl>
    <w:p>
      <w:pPr>
        <w:spacing w:after="80" w:before="0"/>
      </w:pPr>
      <w:r>
        <w:t xml:space="preserve"/>
      </w:r>
    </w:p>
    <w:p>
      <w:pPr>
        <w:pStyle w:val="Heading1"/>
        <w:shd w:fill="1F3864" w:val="clear"/>
        <w:spacing w:after="160" w:before="280"/>
      </w:pPr>
      <w:r>
        <w:rPr>
          <w:rFonts w:ascii="Arial" w:cs="Arial" w:eastAsia="Arial" w:hAnsi="Arial"/>
          <w:b/>
          <w:bCs/>
          <w:color w:val="FFFFFF"/>
          <w:sz w:val="28"/>
          <w:szCs w:val="28"/>
        </w:rPr>
        <w:t xml:space="preserve">5.  Estructura del reporte de conciliación</w:t>
      </w:r>
    </w:p>
    <w:p>
      <w:pPr>
        <w:spacing w:after="100" w:before="0"/>
        <w:jc w:val="left"/>
      </w:pPr>
      <w:r>
        <w:rPr>
          <w:rFonts w:ascii="Arial" w:cs="Arial" w:eastAsia="Arial" w:hAnsi="Arial"/>
          <w:b w:val="false"/>
          <w:bCs w:val="false"/>
          <w:i w:val="false"/>
          <w:iCs w:val="false"/>
          <w:color w:val="000000"/>
          <w:sz w:val="20"/>
          <w:szCs w:val="20"/>
        </w:rPr>
        <w:t xml:space="preserve">El archivo Excel generado por el sistema contiene tres hojas con propósitos distintos: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000"/>
      </w:tblGrid>
      <w:tr>
        <w:trPr>
          <w:tblHeader/>
        </w:trPr>
        <w:tc>
          <w:tcPr>
            <w:tcW w:type="dxa" w:w="2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Hoja</w:t>
            </w:r>
          </w:p>
        </w:tc>
        <w:tc>
          <w:tcPr>
            <w:tcW w:type="dxa" w:w="4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Contenido</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center"/>
            </w:pPr>
            <w:r>
              <w:rPr>
                <w:rFonts w:ascii="Arial" w:cs="Arial" w:eastAsia="Arial" w:hAnsi="Arial"/>
                <w:b/>
                <w:bCs/>
                <w:i w:val="false"/>
                <w:iCs w:val="false"/>
                <w:color w:val="FFFFFF"/>
                <w:sz w:val="18"/>
                <w:szCs w:val="18"/>
              </w:rPr>
              <w:t xml:space="preserve">Audiencia</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RESUMEN</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Estadísticas, totales financieros, indicadores de estado.</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Gerencia / Revisoría</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DETALLE_CONCILIACION</w:t>
            </w:r>
          </w:p>
        </w:tc>
        <w:tc>
          <w:tcPr>
            <w:tcW w:type="dxa" w:w="4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Fila por fila del auxiliar con estado de cruce y subdetalle de Bol_Ruta.</w:t>
            </w:r>
          </w:p>
        </w:tc>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Auxiliares contables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LOG_AUDITORIA</w:t>
            </w:r>
          </w:p>
        </w:tc>
        <w:tc>
          <w:tcPr>
            <w:tcW w:type="dxa" w:w="4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Registro inmutable del proceso, versión, normativa y parámetros.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spacing w:after="120" w:before="0"/>
              <w:jc w:val="left"/>
            </w:pPr>
            <w:r>
              <w:rPr>
                <w:rFonts w:ascii="Arial" w:cs="Arial" w:eastAsia="Arial" w:hAnsi="Arial"/>
                <w:b w:val="false"/>
                <w:bCs w:val="false"/>
                <w:i w:val="false"/>
                <w:iCs w:val="false"/>
                <w:color w:val="000000"/>
                <w:sz w:val="18"/>
                <w:szCs w:val="18"/>
              </w:rPr>
              <w:t xml:space="preserve">Auditoría / DIAN</w:t>
            </w:r>
          </w:p>
        </w:tc>
      </w:tr>
    </w:tbl>
    <w:p>
      <w:pPr>
        <w:spacing w:after="80" w:before="0"/>
      </w:pPr>
      <w:r>
        <w:t xml:space="preserve"/>
      </w:r>
    </w:p>
    <w:p>
      <w:pPr>
        <w:pStyle w:val="Heading2"/>
        <w:pBdr>
          <w:bottom w:val="single" w:color="2E75B6" w:sz="6"/>
        </w:pBdr>
        <w:spacing w:after="100" w:before="240"/>
      </w:pPr>
      <w:r>
        <w:rPr>
          <w:rFonts w:ascii="Arial" w:cs="Arial" w:eastAsia="Arial" w:hAnsi="Arial"/>
          <w:b/>
          <w:bCs/>
          <w:color w:val="1F3864"/>
          <w:sz w:val="24"/>
          <w:szCs w:val="24"/>
        </w:rPr>
        <w:t xml:space="preserve">Convención de colores en la hoja DETALLE_CONCILIACION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60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Color</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Estado</w:t>
            </w:r>
          </w:p>
        </w:tc>
        <w:tc>
          <w:tcPr>
            <w:tcW w:type="dxa" w:w="4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Interpretación</w:t>
            </w:r>
          </w:p>
        </w:tc>
      </w:tr>
      <w:tr>
        <w:tc>
          <w:tcPr>
            <w:tcW w:type="dxa" w:w="22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5623"/>
                <w:sz w:val="18"/>
                <w:szCs w:val="18"/>
              </w:rPr>
              <w:t xml:space="preserve">Verde claro</w:t>
            </w:r>
          </w:p>
        </w:tc>
        <w:tc>
          <w:tcPr>
            <w:tcW w:type="dxa" w:w="24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375623"/>
                <w:sz w:val="18"/>
                <w:szCs w:val="18"/>
              </w:rPr>
              <w:t xml:space="preserve">CUADRA</w:t>
            </w:r>
          </w:p>
        </w:tc>
        <w:tc>
          <w:tcPr>
            <w:tcW w:type="dxa" w:w="4600"/>
            <w:tcBorders>
              <w:top w:val="single" w:color="BFBFBF" w:sz="4"/>
              <w:left w:val="single" w:color="BFBFBF" w:sz="4"/>
              <w:bottom w:val="single" w:color="BFBFBF" w:sz="4"/>
              <w:right w:val="single" w:color="BFBFBF" w:sz="4"/>
            </w:tcBorders>
            <w:shd w:fill="E2EFDA"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375623"/>
                <w:sz w:val="18"/>
                <w:szCs w:val="18"/>
              </w:rPr>
              <w:t xml:space="preserve">El día cuadra exacto con el datafono.</w:t>
            </w:r>
          </w:p>
        </w:tc>
      </w:tr>
      <w:tr>
        <w:tc>
          <w:tcPr>
            <w:tcW w:type="dxa" w:w="22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7F6000"/>
                <w:sz w:val="18"/>
                <w:szCs w:val="18"/>
              </w:rPr>
              <w:t xml:space="preserve">Amarillo claro</w:t>
            </w:r>
          </w:p>
        </w:tc>
        <w:tc>
          <w:tcPr>
            <w:tcW w:type="dxa" w:w="24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7F6000"/>
                <w:sz w:val="18"/>
                <w:szCs w:val="18"/>
              </w:rPr>
              <w:t xml:space="preserve">DIF. MENOR</w:t>
            </w:r>
          </w:p>
        </w:tc>
        <w:tc>
          <w:tcPr>
            <w:tcW w:type="dxa" w:w="46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7F6000"/>
                <w:sz w:val="18"/>
                <w:szCs w:val="18"/>
              </w:rPr>
              <w:t xml:space="preserve">Diferencia menor (comisión o redondeo). Revisar causa.</w:t>
            </w:r>
          </w:p>
        </w:tc>
      </w:tr>
      <w:tr>
        <w:tc>
          <w:tcPr>
            <w:tcW w:type="dxa" w:w="22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843C0C"/>
                <w:sz w:val="18"/>
                <w:szCs w:val="18"/>
              </w:rPr>
              <w:t xml:space="preserve">Rojo claro</w:t>
            </w:r>
          </w:p>
        </w:tc>
        <w:tc>
          <w:tcPr>
            <w:tcW w:type="dxa" w:w="24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843C0C"/>
                <w:sz w:val="18"/>
                <w:szCs w:val="18"/>
              </w:rPr>
              <w:t xml:space="preserve">DIFERENCIA</w:t>
            </w:r>
          </w:p>
        </w:tc>
        <w:tc>
          <w:tcPr>
            <w:tcW w:type="dxa" w:w="4600"/>
            <w:tcBorders>
              <w:top w:val="single" w:color="BFBFBF" w:sz="4"/>
              <w:left w:val="single" w:color="BFBFBF" w:sz="4"/>
              <w:bottom w:val="single" w:color="BFBFBF" w:sz="4"/>
              <w:right w:val="single" w:color="BFBFBF" w:sz="4"/>
            </w:tcBorders>
            <w:shd w:fill="FCE4D6"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843C0C"/>
                <w:sz w:val="18"/>
                <w:szCs w:val="18"/>
              </w:rPr>
              <w:t xml:space="preserve">Diferencia significativa o sin match. Acción requerida.</w:t>
            </w:r>
          </w:p>
        </w:tc>
      </w:tr>
      <w:tr>
        <w:tc>
          <w:tcPr>
            <w:tcW w:type="dxa" w:w="22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F3864"/>
                <w:sz w:val="18"/>
                <w:szCs w:val="18"/>
              </w:rPr>
              <w:t xml:space="preserve">Azul claro</w:t>
            </w:r>
          </w:p>
        </w:tc>
        <w:tc>
          <w:tcPr>
            <w:tcW w:type="dxa" w:w="24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1F3864"/>
                <w:sz w:val="18"/>
                <w:szCs w:val="18"/>
              </w:rPr>
              <w:t xml:space="preserve">GRUPO_BOL_RUTA</w:t>
            </w:r>
          </w:p>
        </w:tc>
        <w:tc>
          <w:tcPr>
            <w:tcW w:type="dxa" w:w="46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spacing w:after="120" w:before="0"/>
              <w:jc w:val="left"/>
            </w:pPr>
            <w:r>
              <w:rPr>
                <w:rFonts w:ascii="Arial" w:cs="Arial" w:eastAsia="Arial" w:hAnsi="Arial"/>
                <w:b w:val="false"/>
                <w:bCs w:val="false"/>
                <w:i w:val="false"/>
                <w:iCs w:val="false"/>
                <w:color w:val="1F3864"/>
                <w:sz w:val="18"/>
                <w:szCs w:val="18"/>
              </w:rPr>
              <w:t xml:space="preserve">Fila de subdetalle bancario (informativa).</w:t>
            </w:r>
          </w:p>
        </w:tc>
      </w:tr>
    </w:tbl>
    <w:p>
      <w:pPr>
        <w:spacing w:after="80" w:before="0"/>
      </w:pPr>
      <w:r>
        <w:t xml:space="preserve"/>
      </w:r>
    </w:p>
    <w:p>
      <w:pPr>
        <w:spacing w:after="80" w:before="0"/>
      </w:pPr>
      <w:r>
        <w:t xml:space="preserve"/>
      </w:r>
    </w:p>
    <w:p>
      <w:pPr>
        <w:pStyle w:val="Heading1"/>
        <w:shd w:fill="1F3864" w:val="clear"/>
        <w:spacing w:after="160" w:before="280"/>
      </w:pPr>
      <w:r>
        <w:rPr>
          <w:rFonts w:ascii="Arial" w:cs="Arial" w:eastAsia="Arial" w:hAnsi="Arial"/>
          <w:b/>
          <w:bCs/>
          <w:color w:val="FFFFFF"/>
          <w:sz w:val="28"/>
          <w:szCs w:val="28"/>
        </w:rPr>
        <w:t xml:space="preserve">6.  Aprobación y socialización</w:t>
      </w:r>
    </w:p>
    <w:p>
      <w:pPr>
        <w:spacing w:after="100" w:before="0"/>
        <w:jc w:val="left"/>
      </w:pPr>
      <w:r>
        <w:rPr>
          <w:rFonts w:ascii="Arial" w:cs="Arial" w:eastAsia="Arial" w:hAnsi="Arial"/>
          <w:b w:val="false"/>
          <w:bCs w:val="false"/>
          <w:i w:val="false"/>
          <w:iCs w:val="false"/>
          <w:color w:val="000000"/>
          <w:sz w:val="20"/>
          <w:szCs w:val="20"/>
        </w:rPr>
        <w:t xml:space="preserve">Este instructivo debe ser revisado y aprobado por las áreas indicadas antes de la implementación en producción: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00"/>
        <w:gridCol w:w="1800"/>
      </w:tblGrid>
      <w:tr>
        <w:trPr>
          <w:tblHeader/>
        </w:trPr>
        <w:tc>
          <w:tcPr>
            <w:tcW w:type="dxa" w:w="3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Rol / Área</w:t>
            </w:r>
          </w:p>
        </w:tc>
        <w:tc>
          <w:tcPr>
            <w:tcW w:type="dxa" w:w="2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Nombre</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Firma</w:t>
            </w:r>
          </w:p>
        </w:tc>
        <w:tc>
          <w:tcPr>
            <w:tcW w:type="dxa" w:w="1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120" w:before="0"/>
              <w:jc w:val="left"/>
            </w:pPr>
            <w:r>
              <w:rPr>
                <w:rFonts w:ascii="Arial" w:cs="Arial" w:eastAsia="Arial" w:hAnsi="Arial"/>
                <w:b/>
                <w:bCs/>
                <w:i w:val="false"/>
                <w:iCs w:val="false"/>
                <w:color w:val="FFFFFF"/>
                <w:sz w:val="18"/>
                <w:szCs w:val="18"/>
              </w:rPr>
              <w:t xml:space="preserve">Fecha</w:t>
            </w:r>
          </w:p>
        </w:tc>
      </w:tr>
      <w:tr>
        <w:tc>
          <w:tcPr>
            <w:tcW w:type="dxa" w:w="3200"/>
            <w:tcBorders>
              <w:top w:val="single" w:color="BFBFBF" w:sz="4"/>
              <w:left w:val="single" w:color="BFBFBF" w:sz="4"/>
              <w:bottom w:val="single" w:color="BFBFBF" w:sz="4"/>
              <w:right w:val="single" w:color="BFBFBF" w:sz="4"/>
            </w:tcBorders>
            <w:shd w:fill="F2F2F2"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Gerencia General</w:t>
            </w:r>
          </w:p>
        </w:tc>
        <w:tc>
          <w:tcPr>
            <w:tcW w:type="dxa" w:w="2400"/>
            <w:tcBorders>
              <w:top w:val="single" w:color="BFBFBF" w:sz="4"/>
              <w:left w:val="single" w:color="BFBFBF" w:sz="4"/>
              <w:bottom w:val="single" w:color="BFBFBF" w:sz="4"/>
              <w:right w:val="single" w:color="BFBFBF" w:sz="4"/>
            </w:tcBorders>
            <w:shd w:fill="F2F2F2"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
            </w:r>
          </w:p>
        </w:tc>
      </w:tr>
      <w:tr>
        <w:tc>
          <w:tcPr>
            <w:tcW w:type="dxa" w:w="3200"/>
            <w:tcBorders>
              <w:top w:val="single" w:color="BFBFBF" w:sz="4"/>
              <w:left w:val="single" w:color="BFBFBF" w:sz="4"/>
              <w:bottom w:val="single" w:color="BFBFBF" w:sz="4"/>
              <w:right w:val="single" w:color="BFBFBF" w:sz="4"/>
            </w:tcBorders>
            <w:shd w:fill="FFFFFF"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Revisoría Fiscal / Contador</w:t>
            </w:r>
          </w:p>
        </w:tc>
        <w:tc>
          <w:tcPr>
            <w:tcW w:type="dxa" w:w="2400"/>
            <w:tcBorders>
              <w:top w:val="single" w:color="BFBFBF" w:sz="4"/>
              <w:left w:val="single" w:color="BFBFBF" w:sz="4"/>
              <w:bottom w:val="single" w:color="BFBFBF" w:sz="4"/>
              <w:right w:val="single" w:color="BFBFBF" w:sz="4"/>
            </w:tcBorders>
            <w:shd w:fill="FFFFFF"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
            </w:r>
          </w:p>
        </w:tc>
      </w:tr>
      <w:tr>
        <w:tc>
          <w:tcPr>
            <w:tcW w:type="dxa" w:w="3200"/>
            <w:tcBorders>
              <w:top w:val="single" w:color="BFBFBF" w:sz="4"/>
              <w:left w:val="single" w:color="BFBFBF" w:sz="4"/>
              <w:bottom w:val="single" w:color="BFBFBF" w:sz="4"/>
              <w:right w:val="single" w:color="BFBFBF" w:sz="4"/>
            </w:tcBorders>
            <w:shd w:fill="F2F2F2"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Jefe de Contabilidad</w:t>
            </w:r>
          </w:p>
        </w:tc>
        <w:tc>
          <w:tcPr>
            <w:tcW w:type="dxa" w:w="2400"/>
            <w:tcBorders>
              <w:top w:val="single" w:color="BFBFBF" w:sz="4"/>
              <w:left w:val="single" w:color="BFBFBF" w:sz="4"/>
              <w:bottom w:val="single" w:color="BFBFBF" w:sz="4"/>
              <w:right w:val="single" w:color="BFBFBF" w:sz="4"/>
            </w:tcBorders>
            <w:shd w:fill="F2F2F2"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
            </w:r>
          </w:p>
        </w:tc>
        <w:tc>
          <w:tcPr>
            <w:tcW w:type="dxa" w:w="1800"/>
            <w:tcBorders>
              <w:top w:val="single" w:color="BFBFBF" w:sz="4"/>
              <w:left w:val="single" w:color="BFBFBF" w:sz="4"/>
              <w:bottom w:val="single" w:color="BFBFBF" w:sz="4"/>
              <w:right w:val="single" w:color="BFBFBF" w:sz="4"/>
            </w:tcBorders>
            <w:shd w:fill="F2F2F2"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
            </w:r>
          </w:p>
        </w:tc>
      </w:tr>
      <w:tr>
        <w:tc>
          <w:tcPr>
            <w:tcW w:type="dxa" w:w="3200"/>
            <w:tcBorders>
              <w:top w:val="single" w:color="BFBFBF" w:sz="4"/>
              <w:left w:val="single" w:color="BFBFBF" w:sz="4"/>
              <w:bottom w:val="single" w:color="BFBFBF" w:sz="4"/>
              <w:right w:val="single" w:color="BFBFBF" w:sz="4"/>
            </w:tcBorders>
            <w:shd w:fill="FFFFFF"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Analista de Datos (elaboró)</w:t>
            </w:r>
          </w:p>
        </w:tc>
        <w:tc>
          <w:tcPr>
            <w:tcW w:type="dxa" w:w="2400"/>
            <w:tcBorders>
              <w:top w:val="single" w:color="BFBFBF" w:sz="4"/>
              <w:left w:val="single" w:color="BFBFBF" w:sz="4"/>
              <w:bottom w:val="single" w:color="BFBFBF" w:sz="4"/>
              <w:right w:val="single" w:color="BFBFBF" w:sz="4"/>
            </w:tcBorders>
            <w:shd w:fill="FFFFFF"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
            </w:r>
          </w:p>
        </w:tc>
        <w:tc>
          <w:tcPr>
            <w:tcW w:type="dxa" w:w="1800"/>
            <w:tcBorders>
              <w:top w:val="single" w:color="BFBFBF" w:sz="4"/>
              <w:left w:val="single" w:color="BFBFBF" w:sz="4"/>
              <w:bottom w:val="single" w:color="BFBFBF" w:sz="4"/>
              <w:right w:val="single" w:color="BFBFBF" w:sz="4"/>
            </w:tcBorders>
            <w:shd w:fill="FFFFFF" w:val="clear"/>
            <w:tcMar>
              <w:top w:type="dxa" w:w="240"/>
              <w:left w:type="dxa" w:w="120"/>
              <w:bottom w:type="dxa" w:w="240"/>
              <w:right w:type="dxa" w:w="120"/>
            </w:tcMar>
          </w:tcPr>
          <w:p>
            <w:pPr>
              <w:spacing w:after="120" w:before="0"/>
              <w:jc w:val="left"/>
            </w:pPr>
            <w:r>
              <w:rPr>
                <w:rFonts w:ascii="Arial" w:cs="Arial" w:eastAsia="Arial" w:hAnsi="Arial"/>
                <w:b w:val="false"/>
                <w:bCs w:val="false"/>
                <w:i w:val="false"/>
                <w:iCs w:val="false"/>
                <w:color w:val="000000"/>
                <w:sz w:val="19"/>
                <w:szCs w:val="19"/>
              </w:rPr>
              <w:t xml:space="preserve"/>
            </w:r>
          </w:p>
        </w:tc>
      </w:tr>
    </w:tbl>
    <w:p>
      <w:pPr>
        <w:spacing w:after="80" w:before="0"/>
      </w:pPr>
      <w:r>
        <w:t xml:space="preserve"/>
      </w:r>
    </w:p>
    <w:p>
      <w:pPr>
        <w:spacing w:after="120" w:before="0"/>
        <w:jc w:val="left"/>
      </w:pPr>
      <w:r>
        <w:rPr>
          <w:rFonts w:ascii="Arial" w:cs="Arial" w:eastAsia="Arial" w:hAnsi="Arial"/>
          <w:b w:val="false"/>
          <w:bCs w:val="false"/>
          <w:i/>
          <w:iCs/>
          <w:color w:val="595959"/>
          <w:sz w:val="20"/>
          <w:szCs w:val="20"/>
        </w:rPr>
        <w:t xml:space="preserve">Una vez aprobado, este documento debe socializarse con todos los auxiliares contables del área mediante una sesión de capacitación antes de la primera ejecución del sistema en producción.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single" w:color="BFBFBF" w:sz="4"/>
            <w:left w:val="none"/>
            <w:bottom w:val="none"/>
            <w:right w:val="none"/>
          </w:tcBorders>
          <w:tcMar>
            <w:top w:type="dxa" w:w="40"/>
            <w:left w:type="dxa" w:w="0"/>
            <w:bottom w:type="dxa" w:w="0"/>
            <w:right w:type="dxa" w:w="0"/>
          </w:tcMar>
        </w:tcPr>
        <w:p>
          <w:pPr>
            <w:spacing w:after="120" w:before="0"/>
            <w:jc w:val="left"/>
          </w:pPr>
          <w:r>
            <w:rPr>
              <w:rFonts w:ascii="Arial" w:cs="Arial" w:eastAsia="Arial" w:hAnsi="Arial"/>
              <w:b w:val="false"/>
              <w:bCs w:val="false"/>
              <w:i/>
              <w:iCs/>
              <w:color w:val="888888"/>
              <w:sz w:val="14"/>
              <w:szCs w:val="14"/>
            </w:rPr>
            <w:t xml:space="preserve">Confidencial — Uso interno. Normativa: NIIF PYMES / DIAN Colombia</w:t>
          </w:r>
        </w:p>
      </w:tc>
      <w:tc>
        <w:tcPr>
          <w:tcBorders>
            <w:top w:val="single" w:color="BFBFBF" w:sz="4"/>
            <w:left w:val="none"/>
            <w:bottom w:val="none"/>
            <w:right w:val="none"/>
          </w:tcBorders>
          <w:tcMar>
            <w:top w:type="dxa" w:w="40"/>
            <w:left w:type="dxa" w:w="0"/>
            <w:bottom w:type="dxa" w:w="0"/>
            <w:right w:type="dxa" w:w="0"/>
          </w:tcMar>
        </w:tcPr>
        <w:p>
          <w:pPr>
            <w:jc w:val="right"/>
          </w:pPr>
          <w:r>
            <w:rPr>
              <w:rFonts w:ascii="Arial" w:cs="Arial" w:eastAsia="Arial" w:hAnsi="Arial"/>
              <w:color w:val="888888"/>
              <w:sz w:val="14"/>
              <w:szCs w:val="14"/>
            </w:rPr>
            <w:t xml:space="preserve">Página </w:t>
          </w:r>
          <w:r>
            <w:rPr>
              <w:rFonts w:ascii="Arial" w:cs="Arial" w:eastAsia="Arial" w:hAnsi="Arial"/>
              <w:color w:val="888888"/>
              <w:sz w:val="14"/>
              <w:szCs w:val="14"/>
            </w:rPr>
            <w:fldChar w:fldCharType="begin"/>
            <w:instrText xml:space="preserve">PAGE</w:instrText>
            <w:fldChar w:fldCharType="separate"/>
            <w:fldChar w:fldCharType="end"/>
          </w:r>
          <w:r>
            <w:rPr>
              <w:rFonts w:ascii="Arial" w:cs="Arial" w:eastAsia="Arial" w:hAnsi="Arial"/>
              <w:color w:val="888888"/>
              <w:sz w:val="14"/>
              <w:szCs w:val="14"/>
            </w:rPr>
            <w:t xml:space="preserve"> de </w:t>
          </w:r>
          <w:r>
            <w:rPr>
              <w:rFonts w:ascii="Arial" w:cs="Arial" w:eastAsia="Arial" w:hAnsi="Arial"/>
              <w:color w:val="888888"/>
              <w:sz w:val="14"/>
              <w:szCs w:val="14"/>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Borders>
            <w:top w:val="none"/>
            <w:left w:val="none"/>
            <w:bottom w:val="single" w:color="2E75B6" w:sz="8"/>
            <w:right w:val="none"/>
          </w:tcBorders>
          <w:tcMar>
            <w:top w:type="dxa" w:w="40"/>
            <w:left w:type="dxa" w:w="0"/>
            <w:bottom w:type="dxa" w:w="40"/>
            <w:right w:type="dxa" w:w="0"/>
          </w:tcMar>
        </w:tcPr>
        <w:p>
          <w:pPr>
            <w:spacing w:after="120" w:before="0"/>
            <w:jc w:val="left"/>
          </w:pPr>
          <w:r>
            <w:rPr>
              <w:rFonts w:ascii="Arial" w:cs="Arial" w:eastAsia="Arial" w:hAnsi="Arial"/>
              <w:b/>
              <w:bCs/>
              <w:i w:val="false"/>
              <w:iCs w:val="false"/>
              <w:color w:val="1F3864"/>
              <w:sz w:val="18"/>
              <w:szCs w:val="18"/>
            </w:rPr>
            <w:t xml:space="preserve">GIRALDO GIRALDO JAIME WILSON</w:t>
          </w:r>
        </w:p>
      </w:tc>
      <w:tc>
        <w:tcPr>
          <w:tcBorders>
            <w:top w:val="none"/>
            <w:left w:val="none"/>
            <w:bottom w:val="single" w:color="2E75B6" w:sz="8"/>
            <w:right w:val="none"/>
          </w:tcBorders>
          <w:tcMar>
            <w:top w:type="dxa" w:w="40"/>
            <w:left w:type="dxa" w:w="0"/>
            <w:bottom w:type="dxa" w:w="40"/>
            <w:right w:type="dxa" w:w="0"/>
          </w:tcMar>
        </w:tcPr>
        <w:p>
          <w:pPr>
            <w:spacing w:after="120" w:before="0"/>
            <w:jc w:val="right"/>
          </w:pPr>
          <w:r>
            <w:rPr>
              <w:rFonts w:ascii="Arial" w:cs="Arial" w:eastAsia="Arial" w:hAnsi="Arial"/>
              <w:b w:val="false"/>
              <w:bCs w:val="false"/>
              <w:i w:val="false"/>
              <w:iCs w:val="false"/>
              <w:color w:val="595959"/>
              <w:sz w:val="16"/>
              <w:szCs w:val="16"/>
            </w:rPr>
            <w:t xml:space="preserve">Sistema de Conciliación de Datafonos — v1.2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bullet"/>
      <w:lvlText w:val="◦"/>
      <w:lvlJc w:val="left"/>
      <w:pPr>
        <w:ind w:left="8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80"/>
      <w:outlineLvl w:val="0"/>
    </w:pPr>
    <w:rPr>
      <w:rFonts w:ascii="Arial" w:cs="Arial" w:eastAsia="Arial" w:hAnsi="Arial"/>
      <w:b/>
      <w:bCs/>
      <w:sz w:val="28"/>
      <w:szCs w:val="28"/>
    </w:rPr>
  </w:style>
  <w:style w:type="paragraph" w:styleId="Heading2">
    <w:name w:val="Heading 2"/>
    <w:basedOn w:val="Normal"/>
    <w:next w:val="Normal"/>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2026-04-13T14:21:55.178Z</dcterms:created>
  <dcterms:modified xsi:type="dcterms:W3CDTF">2026-04-13T14:21:55.178Z</dcterms:modified>
</cp:coreProperties>
</file>

<file path=docProps/custom.xml><?xml version="1.0" encoding="utf-8"?>
<Properties xmlns="http://schemas.openxmlformats.org/officeDocument/2006/custom-properties" xmlns:vt="http://schemas.openxmlformats.org/officeDocument/2006/docPropsVTypes"/>
</file>