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7B5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4638040"/>
            <wp:effectExtent l="0" t="0" r="9525" b="10160"/>
            <wp:docPr id="1" name="图片 1" descr="Supplementary Figure 1 Permutation 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upplementary Figure 1 Permutation importanc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5807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Supplementary Figure 1. Permutation importance of trace elements in the magnetite-based (a, b) and pyrite-based (c, d) XGBoost and LightGBM models. Bars </w:t>
      </w:r>
      <w:bookmarkStart w:id="0" w:name="_GoBack"/>
      <w:bookmarkEnd w:id="0"/>
      <w:r>
        <w:rPr>
          <w:rFonts w:hint="default" w:ascii="Times New Roman Regular" w:hAnsi="Times New Roman Regular" w:cs="Times New Roman Regular"/>
        </w:rPr>
        <w:t>show the mean decrease in pooled out-of-fold (OOF) AUC after randomly shuffling each element’s values 20 times without retraining the models. Error bars represent ±1 standard deviation. Larger positive values indicate greater predictive importance, whereas negative values indicate improved AUC after permutation. Dashed vertical lines mark zero change in AUC.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EC0133"/>
    <w:rsid w:val="EEEC0133"/>
    <w:rsid w:val="FF7B9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2026-09-28T23:23:00Z</dcterms:created>
  <dc:creator>王宇非</dc:creator>
  <cp:lastModifiedBy>王宇非</cp:lastModifiedBy>
  <dcterms:modified xsi:type="dcterms:W3CDTF">2026-10-08T17:08:19Z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2689AA6C8F4588680E16BA6A07A74590_41</vt:lpwstr>
  </property>
</Properties>
</file>