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Datos Medio Ambiente</w:t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“Monitoreo y gestión de la calidad del aire”</w:t>
      </w:r>
    </w:p>
    <w:p w:rsidR="00000000" w:rsidDel="00000000" w:rsidP="00000000" w:rsidRDefault="00000000" w:rsidRPr="00000000" w14:paraId="00000003">
      <w:pPr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agencia ambiental ha desplegado una red de sensores para monitorear la calidad del aire en distintas zonas de una ciudad. Los datos se utilizan para emitir alertas ambientales y diseñar políticas públicas.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embargo, la interpretación de estos datos no es trivial: algunas zonas presentan altos niveles de ozono pero bajos niveles de material particulado, mientras que otras muestran el patrón inverso. Además, factores como el viento y el tráfico interactúan de manera compleja.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5"/>
        <w:gridCol w:w="1921"/>
        <w:gridCol w:w="1776"/>
        <w:gridCol w:w="3552"/>
        <w:tblGridChange w:id="0">
          <w:tblGrid>
            <w:gridCol w:w="1535"/>
            <w:gridCol w:w="1921"/>
            <w:gridCol w:w="1776"/>
            <w:gridCol w:w="35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pm25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µg/m³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Partículas finas (≤2.5 µm)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ppb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Dióxido de nitrógeno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índice (0–100)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Intensidad de tráfico vehicular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m/s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Velocidad del viento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contaminacion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índice compuesto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 agregado de contaminación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categórica (binaria)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True/False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 crítico (percentil &gt;70)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KtyaJ1fCNyh/flA41FzxzctzTg==">CgMxLjA4AHIhMWNRbHR1RnNHcVdJTmI5bHFDbGEzMnlRUWs4emk5QzQ0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