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in 40 the classifier had already scored the missed finding above 0.5 (median 0.92) while the report named none of the study’s critical findings (Fig. 1c).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A normal-reading report is more consequential than a missing flag, because it reassures and moves a scan down the worklist. Under the original evaluation these studies would count as failures of perception, although the encoder had represented the finding. The remaining 15 misses are decomposed in Extended Data Fig. 1.</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for the missed finding in each of the 55 urgent studies the report pipeline missed (dotted line, 0.5). Filled blue, flagged by the classifier at the matched alarm rate; light blue, score above 0.5 but not flagged; grey, score of 0.5 or below; open orange, the report named the finding but GPT-5 did not escalate it. Tick, the median score (0.92) among silent reports scoring above 0.5. The full decomposition of the 55 misses is in Extended Data Fig. 1.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