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rFonts w:ascii="Arial" w:cs="Arial" w:eastAsia="Arial" w:hAnsi="Arial"/>
          <w:b/>
          <w:bCs/>
          <w:sz w:val="22"/>
          <w:szCs w:val="22"/>
          <w:u w:val="single"/>
        </w:rPr>
        <w:t xml:space="preserve">Figures</w:t>
      </w: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Figure 1 here]</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Classifier score for the missed finding in each of the 55 urgent studies the report pipeline missed (dotted line, 0.5). Filled blue, flagged by the classifier at the matched alarm rate; light blue, score above 0.5 but not flagged; grey, score of 0.5 or below; open orange, the report named the finding but GPT-5 did not escalate it. Tick, the median score (0.92) among silent reports scoring above 0.5. The full decomposition of the 55 misses is in Extended Data Fig. 1. Confidence intervals in b are from 2,000 study-level bootstrap resamples.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1 here]</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2 here]</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 xml:space="preserve">{{ED2_ABLATION_SUMMARY}}</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pageBreakBefore/>
      </w:pPr>
    </w:p>
    <w:p>
      <w:pPr>
        <w:pBdr>
          <w:top w:val="dashed" w:color="888888" w:sz="6" w:space="40"/>
          <w:bottom w:val="dashed" w:color="888888" w:sz="6" w:space="40"/>
          <w:left w:val="dashed" w:color="888888" w:sz="6" w:space="40"/>
          <w:right w:val="dashed" w:color="888888" w:sz="6" w:space="40"/>
        </w:pBdr>
        <w:spacing w:after="400" w:before="400"/>
        <w:jc w:val="center"/>
      </w:pPr>
      <w:r>
        <w:rPr>
          <w:rFonts w:ascii="Arial" w:cs="Arial" w:eastAsia="Arial" w:hAnsi="Arial"/>
          <w:i/>
          <w:iCs/>
          <w:color w:val="666666"/>
          <w:sz w:val="22"/>
          <w:szCs w:val="22"/>
        </w:rPr>
        <w:t xml:space="preserve">[Insert Extended Data Figure 3 here]</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sectPr>
      <w:pgSz w:w="12240" w:h="15840" w:orient="portrait"/>
      <w:pgMar w:top="720" w:right="720" w:bottom="806" w:left="979" w:header="360" w:footer="14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2026-10-01T19:07:21.696Z</dcterms:created>
  <dcterms:modified xsi:type="dcterms:W3CDTF">2026-10-01T19:07:21.696Z</dcterms:modified>
</cp:coreProperties>
</file>

<file path=docProps/custom.xml><?xml version="1.0" encoding="utf-8"?>
<Properties xmlns="http://schemas.openxmlformats.org/officeDocument/2006/custom-properties" xmlns:vt="http://schemas.openxmlformats.org/officeDocument/2006/docPropsVTypes"/>
</file>