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in 40 the classifier had already scored the missed finding above 0.5 (median 0.92) while the report named none of the study’s critical findings (Fig. 1c).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A normal-reading report is more consequential than a missing flag, because it reassures and moves a scan down the worklist. Under the original evaluation these studies would count as failures of perception, although the encoder had represented the finding. The remaining 15 misses are decomposed in Extended Data Fig. 1.</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Of the 55 urgent studies the report pipeline missed, in 40 the classifier had already scored the missed finding above 0.5 while the report named none of the study’s critical findings; lines connect this group to their classifier scores below (dotted line, 0.5; median 0.92). In 38 of the 40 the report named none of the nine critical findings. The full decomposition of the 55 misses is in Extended Data Fig. 1.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