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pPr>
      <w:r>
        <w:rPr>
          <w:rFonts w:ascii="Arial" w:cs="Arial" w:eastAsia="Arial" w:hAnsi="Arial"/>
          <w:b/>
          <w:bCs/>
          <w:sz w:val="22"/>
          <w:szCs w:val="22"/>
          <w:u w:val="single"/>
        </w:rPr>
        <w:t xml:space="preserve">Figures</w:t>
      </w: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Figure 1 here]</w:t>
      </w:r>
    </w:p>
    <w:p>
      <w:pPr>
        <w:spacing w:after="200" w:line="276"/>
      </w:pPr>
      <w:r>
        <w:rPr>
          <w:rFonts w:ascii="Arial" w:cs="Arial" w:eastAsia="Arial" w:hAnsi="Arial"/>
          <w:b/>
          <w:bCs/>
          <w:sz w:val="22"/>
          <w:szCs w:val="22"/>
        </w:rPr>
        <w:t xml:space="preserve">Fig. 1. NeuroVFM’s diagnostic classifier detects most urgent findings that its written reports omit, so report-based evaluation does not isolate perception.</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w:t>
      </w:r>
      <w:r>
        <w:rPr>
          <w:rFonts w:ascii="Arial" w:cs="Arial" w:eastAsia="Arial" w:hAnsi="Arial"/>
          <w:sz w:val="22"/>
          <w:szCs w:val="22"/>
          <w:highlight w:val="yellow"/>
          <w:highlightCs w:val="yellow"/>
        </w:rPr>
        <w:t xml:space="preserve">{{FIG1A_FINDING}}</w:t>
      </w:r>
      <w:r>
        <w:rPr>
          <w:rFonts w:ascii="Arial" w:cs="Arial" w:eastAsia="Arial" w:hAnsi="Arial"/>
          <w:sz w:val="22"/>
          <w:szCs w:val="22"/>
        </w:rPr>
        <w:t xml:space="preserve">: the classifier scored the finding at </w:t>
      </w:r>
      <w:r>
        <w:rPr>
          <w:rFonts w:ascii="Arial" w:cs="Arial" w:eastAsia="Arial" w:hAnsi="Arial"/>
          <w:sz w:val="22"/>
          <w:szCs w:val="22"/>
          <w:highlight w:val="yellow"/>
          <w:highlightCs w:val="yellow"/>
        </w:rPr>
        <w:t xml:space="preserve">{{FIG1A_SCORE}}</w:t>
      </w:r>
      <w:r>
        <w:rPr>
          <w:rFonts w:ascii="Arial" w:cs="Arial" w:eastAsia="Arial" w:hAnsi="Arial"/>
          <w:sz w:val="22"/>
          <w:szCs w:val="22"/>
        </w:rPr>
        <w:t xml:space="preserve"> and flagged the study, whereas the generated report read “</w:t>
      </w:r>
      <w:r>
        <w:rPr>
          <w:rFonts w:ascii="Arial" w:cs="Arial" w:eastAsia="Arial" w:hAnsi="Arial"/>
          <w:sz w:val="22"/>
          <w:szCs w:val="22"/>
          <w:highlight w:val="yellow"/>
          <w:highlightCs w:val="yellow"/>
        </w:rPr>
        <w:t xml:space="preserve">{{FIG1A_REPORT_TEXT}}</w:t>
      </w:r>
      <w:r>
        <w:rPr>
          <w:rFonts w:ascii="Arial" w:cs="Arial" w:eastAsia="Arial" w:hAnsi="Arial"/>
          <w:sz w:val="22"/>
          <w:szCs w:val="22"/>
        </w:rPr>
        <w:t xml:space="preserve">” and the study was not escalated. </w:t>
      </w:r>
      <w:r>
        <w:rPr>
          <w:rFonts w:ascii="Arial" w:cs="Arial" w:eastAsia="Arial" w:hAnsi="Arial"/>
          <w:b/>
          <w:bCs/>
          <w:sz w:val="22"/>
          <w:szCs w:val="22"/>
        </w:rPr>
        <w:t xml:space="preserve">b</w:t>
      </w:r>
      <w:r>
        <w:rPr>
          <w:rFonts w:ascii="Arial" w:cs="Arial" w:eastAsia="Arial" w:hAnsi="Arial"/>
          <w:sz w:val="22"/>
          <w:szCs w:val="22"/>
        </w:rPr>
        <w:t xml:space="preserve">,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w:t>
      </w:r>
      <w:r>
        <w:rPr>
          <w:rFonts w:ascii="Arial" w:cs="Arial" w:eastAsia="Arial" w:hAnsi="Arial"/>
          <w:b/>
          <w:bCs/>
          <w:sz w:val="22"/>
          <w:szCs w:val="22"/>
        </w:rPr>
        <w:t xml:space="preserve">c</w:t>
      </w:r>
      <w:r>
        <w:rPr>
          <w:rFonts w:ascii="Arial" w:cs="Arial" w:eastAsia="Arial" w:hAnsi="Arial"/>
          <w:sz w:val="22"/>
          <w:szCs w:val="22"/>
        </w:rPr>
        <w:t xml:space="preserve">, Agreement between the two readouts on the 206 urgent studies at the matched flag rate: caught by both (</w:t>
      </w:r>
      <w:r>
        <w:rPr>
          <w:rFonts w:ascii="Arial" w:cs="Arial" w:eastAsia="Arial" w:hAnsi="Arial"/>
          <w:sz w:val="22"/>
          <w:szCs w:val="22"/>
          <w:highlight w:val="yellow"/>
          <w:highlightCs w:val="yellow"/>
        </w:rPr>
        <w:t xml:space="preserve">{{BOTH_CAUGHT}}</w:t>
      </w:r>
      <w:r>
        <w:rPr>
          <w:rFonts w:ascii="Arial" w:cs="Arial" w:eastAsia="Arial" w:hAnsi="Arial"/>
          <w:sz w:val="22"/>
          <w:szCs w:val="22"/>
        </w:rPr>
        <w:t xml:space="preserve">), by the classifier only (</w:t>
      </w:r>
      <w:r>
        <w:rPr>
          <w:rFonts w:ascii="Arial" w:cs="Arial" w:eastAsia="Arial" w:hAnsi="Arial"/>
          <w:sz w:val="22"/>
          <w:szCs w:val="22"/>
          <w:highlight w:val="yellow"/>
          <w:highlightCs w:val="yellow"/>
        </w:rPr>
        <w:t xml:space="preserve">{{CLASSIFIER_ONLY}}</w:t>
      </w:r>
      <w:r>
        <w:rPr>
          <w:rFonts w:ascii="Arial" w:cs="Arial" w:eastAsia="Arial" w:hAnsi="Arial"/>
          <w:sz w:val="22"/>
          <w:szCs w:val="22"/>
        </w:rPr>
        <w:t xml:space="preserve">), by the report only (</w:t>
      </w:r>
      <w:r>
        <w:rPr>
          <w:rFonts w:ascii="Arial" w:cs="Arial" w:eastAsia="Arial" w:hAnsi="Arial"/>
          <w:sz w:val="22"/>
          <w:szCs w:val="22"/>
          <w:highlight w:val="yellow"/>
          <w:highlightCs w:val="yellow"/>
        </w:rPr>
        <w:t xml:space="preserve">{{REPORT_ONLY}}</w:t>
      </w:r>
      <w:r>
        <w:rPr>
          <w:rFonts w:ascii="Arial" w:cs="Arial" w:eastAsia="Arial" w:hAnsi="Arial"/>
          <w:sz w:val="22"/>
          <w:szCs w:val="22"/>
        </w:rPr>
        <w:t xml:space="preserve">) or by neither (</w:t>
      </w:r>
      <w:r>
        <w:rPr>
          <w:rFonts w:ascii="Arial" w:cs="Arial" w:eastAsia="Arial" w:hAnsi="Arial"/>
          <w:sz w:val="22"/>
          <w:szCs w:val="22"/>
          <w:highlight w:val="yellow"/>
          <w:highlightCs w:val="yellow"/>
        </w:rPr>
        <w:t xml:space="preserve">{{NEITHER}}</w:t>
      </w:r>
      <w:r>
        <w:rPr>
          <w:rFonts w:ascii="Arial" w:cs="Arial" w:eastAsia="Arial" w:hAnsi="Arial"/>
          <w:sz w:val="22"/>
          <w:szCs w:val="22"/>
        </w:rPr>
        <w:t xml:space="preserve">). </w:t>
      </w:r>
      <w:r>
        <w:rPr>
          <w:rFonts w:ascii="Arial" w:cs="Arial" w:eastAsia="Arial" w:hAnsi="Arial"/>
          <w:b/>
          <w:bCs/>
          <w:sz w:val="22"/>
          <w:szCs w:val="22"/>
        </w:rPr>
        <w:t xml:space="preserve">d</w:t>
      </w:r>
      <w:r>
        <w:rPr>
          <w:rFonts w:ascii="Arial" w:cs="Arial" w:eastAsia="Arial" w:hAnsi="Arial"/>
          <w:sz w:val="22"/>
          <w:szCs w:val="22"/>
        </w:rPr>
        <w:t xml:space="preserve">, Classifier score for each of the 55 urgent studies the report pipeline missed. Solid line, matched threshold (</w:t>
      </w:r>
      <w:r>
        <w:rPr>
          <w:rFonts w:ascii="Arial" w:cs="Arial" w:eastAsia="Arial" w:hAnsi="Arial"/>
          <w:sz w:val="22"/>
          <w:szCs w:val="22"/>
          <w:highlight w:val="yellow"/>
          <w:highlightCs w:val="yellow"/>
        </w:rPr>
        <w:t xml:space="preserve">{{MATCHED_THRESHOLD}}</w:t>
      </w:r>
      <w:r>
        <w:rPr>
          <w:rFonts w:ascii="Arial" w:cs="Arial" w:eastAsia="Arial" w:hAnsi="Arial"/>
          <w:sz w:val="22"/>
          <w:szCs w:val="22"/>
        </w:rPr>
        <w:t xml:space="preserve">). Dotted line, 0.5. Filled blue markers, decoding misses, flagged by the classifier while the report named none of the study’s critical findings (n = </w:t>
      </w:r>
      <w:r>
        <w:rPr>
          <w:rFonts w:ascii="Arial" w:cs="Arial" w:eastAsia="Arial" w:hAnsi="Arial"/>
          <w:sz w:val="22"/>
          <w:szCs w:val="22"/>
          <w:highlight w:val="yellow"/>
          <w:highlightCs w:val="yellow"/>
        </w:rPr>
        <w:t xml:space="preserve">{{DECODING_N}}</w:t>
      </w:r>
      <w:r>
        <w:rPr>
          <w:rFonts w:ascii="Arial" w:cs="Arial" w:eastAsia="Arial" w:hAnsi="Arial"/>
          <w:sz w:val="22"/>
          <w:szCs w:val="22"/>
        </w:rPr>
        <w:t xml:space="preserve">). Grey markers, missed by both readouts (n = </w:t>
      </w:r>
      <w:r>
        <w:rPr>
          <w:rFonts w:ascii="Arial" w:cs="Arial" w:eastAsia="Arial" w:hAnsi="Arial"/>
          <w:sz w:val="22"/>
          <w:szCs w:val="22"/>
          <w:highlight w:val="yellow"/>
          <w:highlightCs w:val="yellow"/>
        </w:rPr>
        <w:t xml:space="preserve">{{PERCEPTION_N}}</w:t>
      </w:r>
      <w:r>
        <w:rPr>
          <w:rFonts w:ascii="Arial" w:cs="Arial" w:eastAsia="Arial" w:hAnsi="Arial"/>
          <w:sz w:val="22"/>
          <w:szCs w:val="22"/>
        </w:rPr>
        <w:t xml:space="preserve">). Open markers, reasoning misses, in which the report named a critical finding that GPT-5 did not escalate (n = </w:t>
      </w:r>
      <w:r>
        <w:rPr>
          <w:rFonts w:ascii="Arial" w:cs="Arial" w:eastAsia="Arial" w:hAnsi="Arial"/>
          <w:sz w:val="22"/>
          <w:szCs w:val="22"/>
          <w:highlight w:val="yellow"/>
          <w:highlightCs w:val="yellow"/>
        </w:rPr>
        <w:t xml:space="preserve">{{REASONING_N}}</w:t>
      </w:r>
      <w:r>
        <w:rPr>
          <w:rFonts w:ascii="Arial" w:cs="Arial" w:eastAsia="Arial" w:hAnsi="Arial"/>
          <w:sz w:val="22"/>
          <w:szCs w:val="22"/>
        </w:rPr>
        <w:t xml:space="preserve">). Confidence intervals are from 2,000 study-level bootstrap resamples.</w:t>
      </w:r>
    </w:p>
    <w:p>
      <w:pPr>
        <w:pageBreakBefore/>
      </w:pP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Extended Data Figure 1 here]</w:t>
      </w:r>
    </w:p>
    <w:p>
      <w:pPr>
        <w:spacing w:after="200" w:line="276"/>
      </w:pPr>
      <w:r>
        <w:rPr>
          <w:rFonts w:ascii="Arial" w:cs="Arial" w:eastAsia="Arial" w:hAnsi="Arial"/>
          <w:b/>
          <w:bCs/>
          <w:sz w:val="22"/>
          <w:szCs w:val="22"/>
        </w:rPr>
        <w:t xml:space="preserve">Extended Data Fig. 1. Decomposition of report-pipeline misses under alternative definitions and screening models.</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Decomposition of the 55 misses under the primary definition (classifier flag at the matched threshold, report naming none of the study’s critical findings: </w:t>
      </w:r>
      <w:r>
        <w:rPr>
          <w:rFonts w:ascii="Arial" w:cs="Arial" w:eastAsia="Arial" w:hAnsi="Arial"/>
          <w:sz w:val="22"/>
          <w:szCs w:val="22"/>
          <w:highlight w:val="yellow"/>
          <w:highlightCs w:val="yellow"/>
        </w:rPr>
        <w:t xml:space="preserve">{{DECODING_N}}</w:t>
      </w:r>
      <w:r>
        <w:rPr>
          <w:rFonts w:ascii="Arial" w:cs="Arial" w:eastAsia="Arial" w:hAnsi="Arial"/>
          <w:sz w:val="22"/>
          <w:szCs w:val="22"/>
        </w:rPr>
        <w:t xml:space="preserve"> decoding, </w:t>
      </w:r>
      <w:r>
        <w:rPr>
          <w:rFonts w:ascii="Arial" w:cs="Arial" w:eastAsia="Arial" w:hAnsi="Arial"/>
          <w:sz w:val="22"/>
          <w:szCs w:val="22"/>
          <w:highlight w:val="yellow"/>
          <w:highlightCs w:val="yellow"/>
        </w:rPr>
        <w:t xml:space="preserve">{{PERCEPTION_N}}</w:t>
      </w:r>
      <w:r>
        <w:rPr>
          <w:rFonts w:ascii="Arial" w:cs="Arial" w:eastAsia="Arial" w:hAnsi="Arial"/>
          <w:sz w:val="22"/>
          <w:szCs w:val="22"/>
        </w:rPr>
        <w:t xml:space="preserve"> perception, </w:t>
      </w:r>
      <w:r>
        <w:rPr>
          <w:rFonts w:ascii="Arial" w:cs="Arial" w:eastAsia="Arial" w:hAnsi="Arial"/>
          <w:sz w:val="22"/>
          <w:szCs w:val="22"/>
          <w:highlight w:val="yellow"/>
          <w:highlightCs w:val="yellow"/>
        </w:rPr>
        <w:t xml:space="preserve">{{REASONING_N}}</w:t>
      </w:r>
      <w:r>
        <w:rPr>
          <w:rFonts w:ascii="Arial" w:cs="Arial" w:eastAsia="Arial" w:hAnsi="Arial"/>
          <w:sz w:val="22"/>
          <w:szCs w:val="22"/>
        </w:rPr>
        <w:t xml:space="preserve"> reasoning) and under the alternative definition (classifier score above 0.5 on the highest-scoring positive finding, report silent on that finding: 40 decoding, 10 perception, 5 reasoning). </w:t>
      </w:r>
      <w:r>
        <w:rPr>
          <w:rFonts w:ascii="Arial" w:cs="Arial" w:eastAsia="Arial" w:hAnsi="Arial"/>
          <w:b/>
          <w:bCs/>
          <w:sz w:val="22"/>
          <w:szCs w:val="22"/>
        </w:rPr>
        <w:t xml:space="preserve">b</w:t>
      </w:r>
      <w:r>
        <w:rPr>
          <w:rFonts w:ascii="Arial" w:cs="Arial" w:eastAsia="Arial" w:hAnsi="Arial"/>
          <w:sz w:val="22"/>
          <w:szCs w:val="22"/>
        </w:rPr>
        <w:t xml:space="preserve">, The same decomposition with Claude as the screening model (</w:t>
      </w:r>
      <w:r>
        <w:rPr>
          <w:rFonts w:ascii="Arial" w:cs="Arial" w:eastAsia="Arial" w:hAnsi="Arial"/>
          <w:sz w:val="22"/>
          <w:szCs w:val="22"/>
          <w:highlight w:val="yellow"/>
          <w:highlightCs w:val="yellow"/>
        </w:rPr>
        <w:t xml:space="preserve">{{CLAUDE_DECOMPOSITION}}</w:t>
      </w:r>
      <w:r>
        <w:rPr>
          <w:rFonts w:ascii="Arial" w:cs="Arial" w:eastAsia="Arial" w:hAnsi="Arial"/>
          <w:sz w:val="22"/>
          <w:szCs w:val="22"/>
        </w:rPr>
        <w:t xml:space="preserve">). Acuity agreement between the two screeners was 96.6%. </w:t>
      </w:r>
      <w:r>
        <w:rPr>
          <w:rFonts w:ascii="Arial" w:cs="Arial" w:eastAsia="Arial" w:hAnsi="Arial"/>
          <w:b/>
          <w:bCs/>
          <w:sz w:val="22"/>
          <w:szCs w:val="22"/>
        </w:rPr>
        <w:t xml:space="preserve">c</w:t>
      </w:r>
      <w:r>
        <w:rPr>
          <w:rFonts w:ascii="Arial" w:cs="Arial" w:eastAsia="Arial" w:hAnsi="Arial"/>
          <w:sz w:val="22"/>
          <w:szCs w:val="22"/>
        </w:rPr>
        <w:t xml:space="preserve">, Decoding misses by critical finding (</w:t>
      </w:r>
      <w:r>
        <w:rPr>
          <w:rFonts w:ascii="Arial" w:cs="Arial" w:eastAsia="Arial" w:hAnsi="Arial"/>
          <w:sz w:val="22"/>
          <w:szCs w:val="22"/>
          <w:highlight w:val="yellow"/>
          <w:highlightCs w:val="yellow"/>
        </w:rPr>
        <w:t xml:space="preserve">{{ED1_BY_FINDING}}</w:t>
      </w:r>
      <w:r>
        <w:rPr>
          <w:rFonts w:ascii="Arial" w:cs="Arial" w:eastAsia="Arial" w:hAnsi="Arial"/>
          <w:sz w:val="22"/>
          <w:szCs w:val="22"/>
        </w:rPr>
        <w:t xml:space="preserve">). </w:t>
      </w:r>
      <w:r>
        <w:rPr>
          <w:rFonts w:ascii="Arial" w:cs="Arial" w:eastAsia="Arial" w:hAnsi="Arial"/>
          <w:b/>
          <w:bCs/>
          <w:sz w:val="22"/>
          <w:szCs w:val="22"/>
        </w:rPr>
        <w:t xml:space="preserve">d</w:t>
      </w:r>
      <w:r>
        <w:rPr>
          <w:rFonts w:ascii="Arial" w:cs="Arial" w:eastAsia="Arial" w:hAnsi="Arial"/>
          <w:sz w:val="22"/>
          <w:szCs w:val="22"/>
        </w:rPr>
        <w:t xml:space="preserve">, Fraction of generated reports reading as normal among urgent (23%) and non-urgent (96%) studies. </w:t>
      </w:r>
      <w:r>
        <w:rPr>
          <w:rFonts w:ascii="Arial" w:cs="Arial" w:eastAsia="Arial" w:hAnsi="Arial"/>
          <w:b/>
          <w:bCs/>
          <w:sz w:val="22"/>
          <w:szCs w:val="22"/>
        </w:rPr>
        <w:t xml:space="preserve">e</w:t>
      </w:r>
      <w:r>
        <w:rPr>
          <w:rFonts w:ascii="Arial" w:cs="Arial" w:eastAsia="Arial" w:hAnsi="Arial"/>
          <w:sz w:val="22"/>
          <w:szCs w:val="22"/>
        </w:rPr>
        <w:t xml:space="preserve">, Agreement on whether each reference finding was mentioned, between GPT-5 and Claude as judges (mean κ 0.97) and between each judge and a rule-based detector (κ 0.92 or higher for hemorrhage findings).</w:t>
      </w:r>
    </w:p>
    <w:p>
      <w:pPr>
        <w:pageBreakBefore/>
      </w:pP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Extended Data Figure 2 here]</w:t>
      </w:r>
    </w:p>
    <w:p>
      <w:pPr>
        <w:spacing w:after="200" w:line="276"/>
      </w:pPr>
      <w:r>
        <w:rPr>
          <w:rFonts w:ascii="Arial" w:cs="Arial" w:eastAsia="Arial" w:hAnsi="Arial"/>
          <w:b/>
          <w:bCs/>
          <w:sz w:val="22"/>
          <w:szCs w:val="22"/>
        </w:rPr>
        <w:t xml:space="preserve">Extended Data Fig. 2. Clinical indication, urgency definition, calibration and prevalence.</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Decomposition of misses with no clinical indication (as in the main analysis), with the indication “head trauma” and with the indication “headache” (</w:t>
      </w:r>
      <w:r>
        <w:rPr>
          <w:rFonts w:ascii="Arial" w:cs="Arial" w:eastAsia="Arial" w:hAnsi="Arial"/>
          <w:sz w:val="22"/>
          <w:szCs w:val="22"/>
          <w:highlight w:val="yellow"/>
          <w:highlightCs w:val="yellow"/>
        </w:rPr>
        <w:t xml:space="preserve">{{ED2_ABLATION_SUMMARY}}</w:t>
      </w:r>
      <w:r>
        <w:rPr>
          <w:rFonts w:ascii="Arial" w:cs="Arial" w:eastAsia="Arial" w:hAnsi="Arial"/>
          <w:sz w:val="22"/>
          <w:szCs w:val="22"/>
        </w:rPr>
        <w:t xml:space="preserve">). </w:t>
      </w:r>
      <w:r>
        <w:rPr>
          <w:rFonts w:ascii="Arial" w:cs="Arial" w:eastAsia="Arial" w:hAnsi="Arial"/>
          <w:b/>
          <w:bCs/>
          <w:sz w:val="22"/>
          <w:szCs w:val="22"/>
        </w:rPr>
        <w:t xml:space="preserve">b</w:t>
      </w:r>
      <w:r>
        <w:rPr>
          <w:rFonts w:ascii="Arial" w:cs="Arial" w:eastAsia="Arial" w:hAnsi="Arial"/>
          <w:sz w:val="22"/>
          <w:szCs w:val="22"/>
        </w:rPr>
        <w:t xml:space="preserve">, Sensitivity at the matched flag rate and decomposition of misses after excluding studies whose only critical finding was a calvarial fracture (</w:t>
      </w:r>
      <w:r>
        <w:rPr>
          <w:rFonts w:ascii="Arial" w:cs="Arial" w:eastAsia="Arial" w:hAnsi="Arial"/>
          <w:sz w:val="22"/>
          <w:szCs w:val="22"/>
          <w:highlight w:val="yellow"/>
          <w:highlightCs w:val="yellow"/>
        </w:rPr>
        <w:t xml:space="preserve">{{ED2_URGENCY_SUMMARY}}</w:t>
      </w:r>
      <w:r>
        <w:rPr>
          <w:rFonts w:ascii="Arial" w:cs="Arial" w:eastAsia="Arial" w:hAnsi="Arial"/>
          <w:sz w:val="22"/>
          <w:szCs w:val="22"/>
        </w:rPr>
        <w:t xml:space="preserve">). </w:t>
      </w:r>
      <w:r>
        <w:rPr>
          <w:rFonts w:ascii="Arial" w:cs="Arial" w:eastAsia="Arial" w:hAnsi="Arial"/>
          <w:b/>
          <w:bCs/>
          <w:sz w:val="22"/>
          <w:szCs w:val="22"/>
        </w:rPr>
        <w:t xml:space="preserve">c</w:t>
      </w:r>
      <w:r>
        <w:rPr>
          <w:rFonts w:ascii="Arial" w:cs="Arial" w:eastAsia="Arial" w:hAnsi="Arial"/>
          <w:sz w:val="22"/>
          <w:szCs w:val="22"/>
        </w:rPr>
        <w:t xml:space="preserve">, Reliability diagram for classifier scores pooled over the nine critical findings (expected calibration error 0.25). The classifier discriminates well on external data but is not calibrated to it, so we describe its outputs as scores rather than probabilities. </w:t>
      </w:r>
      <w:r>
        <w:rPr>
          <w:rFonts w:ascii="Arial" w:cs="Arial" w:eastAsia="Arial" w:hAnsi="Arial"/>
          <w:b/>
          <w:bCs/>
          <w:sz w:val="22"/>
          <w:szCs w:val="22"/>
        </w:rPr>
        <w:t xml:space="preserve">d</w:t>
      </w:r>
      <w:r>
        <w:rPr>
          <w:rFonts w:ascii="Arial" w:cs="Arial" w:eastAsia="Arial" w:hAnsi="Arial"/>
          <w:sz w:val="22"/>
          <w:szCs w:val="22"/>
        </w:rPr>
        <w:t xml:space="preserve">, Sensitivity versus fraction flagged with the flag-rate axis reweighted to the 13% urgent prevalence of the original prospective study.</w:t>
      </w:r>
    </w:p>
    <w:p>
      <w:pPr>
        <w:pageBreakBefore/>
      </w:pP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Extended Data Figure 3 here]</w:t>
      </w:r>
    </w:p>
    <w:p>
      <w:pPr>
        <w:spacing w:after="200" w:line="276"/>
      </w:pPr>
      <w:r>
        <w:rPr>
          <w:rFonts w:ascii="Arial" w:cs="Arial" w:eastAsia="Arial" w:hAnsi="Arial"/>
          <w:b/>
          <w:bCs/>
          <w:sz w:val="22"/>
          <w:szCs w:val="22"/>
        </w:rPr>
        <w:t xml:space="preserve">Extended Data Fig. 3. Representative decoding misses.</w:t>
      </w:r>
      <w:r>
        <w:rPr>
          <w:rFonts w:ascii="Arial" w:cs="Arial" w:eastAsia="Arial" w:hAnsi="Arial"/>
          <w:sz w:val="22"/>
          <w:szCs w:val="22"/>
        </w:rPr>
        <w:t xml:space="preserve"> </w:t>
      </w:r>
      <w:r>
        <w:rPr>
          <w:rFonts w:ascii="Arial" w:cs="Arial" w:eastAsia="Arial" w:hAnsi="Arial"/>
          <w:sz w:val="22"/>
          <w:szCs w:val="22"/>
          <w:highlight w:val="yellow"/>
          <w:highlightCs w:val="yellow"/>
        </w:rPr>
        <w:t xml:space="preserve">{{ED3_N_CASES}}</w:t>
      </w:r>
      <w:r>
        <w:rPr>
          <w:rFonts w:ascii="Arial" w:cs="Arial" w:eastAsia="Arial" w:hAnsi="Arial"/>
          <w:sz w:val="22"/>
          <w:szCs w:val="22"/>
        </w:rPr>
        <w:t xml:space="preserve"> CQ500 studies in which the generated report omitted an urgent finding. For each, a key axial slice, the classifier’s scores for the nine critical findings and the generated report verbatim. </w:t>
      </w:r>
      <w:r>
        <w:rPr>
          <w:rFonts w:ascii="Arial" w:cs="Arial" w:eastAsia="Arial" w:hAnsi="Arial"/>
          <w:sz w:val="22"/>
          <w:szCs w:val="22"/>
          <w:highlight w:val="yellow"/>
          <w:highlightCs w:val="yellow"/>
        </w:rPr>
        <w:t xml:space="preserve">{{ED3_CASE_DESCRIPTIONS}}</w:t>
      </w:r>
    </w:p>
    <w:sectPr>
      <w:pgSz w:w="12240" w:h="15840" w:orient="portrait"/>
      <w:pgMar w:top="720" w:right="720" w:bottom="806" w:left="979" w:header="360" w:footer="14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2026-10-01T19:07:21.696Z</dcterms:created>
  <dcterms:modified xsi:type="dcterms:W3CDTF">2026-10-01T19:07:21.696Z</dcterms:modified>
</cp:coreProperties>
</file>

<file path=docProps/custom.xml><?xml version="1.0" encoding="utf-8"?>
<Properties xmlns="http://schemas.openxmlformats.org/officeDocument/2006/custom-properties" xmlns:vt="http://schemas.openxmlformats.org/officeDocument/2006/docPropsVTypes"/>
</file>