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Arial" w:cs="Arial" w:eastAsia="Arial" w:hAnsi="Arial"/>
          <w:b/>
          <w:bCs/>
          <w:sz w:val="22"/>
          <w:szCs w:val="22"/>
        </w:rPr>
        <w:t xml:space="preserve">Matters Arising</w:t>
      </w:r>
    </w:p>
    <w:p>
      <w:pPr>
        <w:spacing w:after="200" w:line="276"/>
        <w:jc w:val="center"/>
      </w:pPr>
      <w:r>
        <w:rPr>
          <w:rFonts w:ascii="Arial" w:cs="Arial" w:eastAsia="Arial" w:hAnsi="Arial"/>
          <w:b/>
          <w:bCs/>
          <w:sz w:val="22"/>
          <w:szCs w:val="22"/>
        </w:rPr>
        <w:t xml:space="preserve">Report-based evaluation of NeuroVFM does not isolate visual perception</w:t>
      </w:r>
    </w:p>
    <w:p>
      <w:pPr>
        <w:spacing w:after="200" w:line="276"/>
      </w:pPr>
      <w:r>
        <w:rPr>
          <w:rFonts w:ascii="Arial" w:cs="Arial" w:eastAsia="Arial" w:hAnsi="Arial"/>
          <w:b/>
          <w:bCs/>
          <w:sz w:val="22"/>
          <w:szCs w:val="22"/>
        </w:rPr>
        <w:t xml:space="preserve">Arising from:</w:t>
      </w:r>
      <w:r>
        <w:rPr>
          <w:rFonts w:ascii="Arial" w:cs="Arial" w:eastAsia="Arial" w:hAnsi="Arial"/>
          <w:sz w:val="22"/>
          <w:szCs w:val="22"/>
        </w:rPr>
        <w:t xml:space="preserve"> A. Kondepudi </w:t>
      </w:r>
      <w:r>
        <w:rPr>
          <w:rFonts w:ascii="Arial" w:cs="Arial" w:eastAsia="Arial" w:hAnsi="Arial"/>
          <w:i/>
          <w:iCs/>
          <w:sz w:val="22"/>
          <w:szCs w:val="22"/>
        </w:rPr>
        <w:t xml:space="preserve">et al.</w:t>
      </w:r>
      <w:r>
        <w:rPr>
          <w:rFonts w:ascii="Arial" w:cs="Arial" w:eastAsia="Arial" w:hAnsi="Arial"/>
          <w:sz w:val="22"/>
          <w:szCs w:val="22"/>
        </w:rPr>
        <w:t xml:space="preserve"> </w:t>
      </w:r>
      <w:r>
        <w:rPr>
          <w:rFonts w:ascii="Arial" w:cs="Arial" w:eastAsia="Arial" w:hAnsi="Arial"/>
          <w:i/>
          <w:iCs/>
          <w:sz w:val="22"/>
          <w:szCs w:val="22"/>
        </w:rPr>
        <w:t xml:space="preserve">Nature Medicine</w:t>
      </w:r>
      <w:r>
        <w:rPr>
          <w:rFonts w:ascii="Arial" w:cs="Arial" w:eastAsia="Arial" w:hAnsi="Arial"/>
          <w:sz w:val="22"/>
          <w:szCs w:val="22"/>
        </w:rPr>
        <w:t xml:space="preserve"> https://doi.org/10.1038/s41591-026-04497-1 (2026)</w:t>
      </w:r>
    </w:p>
    <w:p>
      <w:pPr>
        <w:spacing w:after="200" w:line="276"/>
      </w:pPr>
      <w:r>
        <w:rPr>
          <w:rFonts w:ascii="Arial" w:cs="Arial" w:eastAsia="Arial" w:hAnsi="Arial"/>
          <w:b/>
          <w:bCs/>
          <w:sz w:val="22"/>
          <w:szCs w:val="22"/>
        </w:rPr>
        <w:t xml:space="preserve">Authors:</w:t>
      </w:r>
      <w:r>
        <w:rPr>
          <w:rFonts w:ascii="Arial" w:cs="Arial" w:eastAsia="Arial" w:hAnsi="Arial"/>
          <w:sz w:val="22"/>
          <w:szCs w:val="22"/>
        </w:rPr>
        <w:t xml:space="preserve"> Jonah N. Keller</w:t>
      </w:r>
      <w:r>
        <w:rPr>
          <w:rFonts w:ascii="Arial" w:cs="Arial" w:eastAsia="Arial" w:hAnsi="Arial"/>
          <w:sz w:val="22"/>
          <w:szCs w:val="22"/>
          <w:vertAlign w:val="superscript"/>
        </w:rPr>
        <w:t xml:space="preserve">1</w:t>
      </w:r>
      <w:r>
        <w:rPr>
          <w:rFonts w:ascii="Arial" w:cs="Arial" w:eastAsia="Arial" w:hAnsi="Arial"/>
          <w:sz w:val="22"/>
          <w:szCs w:val="22"/>
        </w:rPr>
        <w:t xml:space="preserve">, Visish M. Srinivasan</w:t>
      </w:r>
      <w:r>
        <w:rPr>
          <w:rFonts w:ascii="Arial" w:cs="Arial" w:eastAsia="Arial" w:hAnsi="Arial"/>
          <w:sz w:val="22"/>
          <w:szCs w:val="22"/>
          <w:vertAlign w:val="superscript"/>
        </w:rPr>
        <w:t xml:space="preserve">1*</w:t>
      </w:r>
    </w:p>
    <w:p>
      <w:pPr>
        <w:spacing w:after="200" w:line="276"/>
      </w:pPr>
      <w:r>
        <w:rPr>
          <w:rFonts w:ascii="Arial" w:cs="Arial" w:eastAsia="Arial" w:hAnsi="Arial"/>
          <w:b/>
          <w:bCs/>
          <w:sz w:val="22"/>
          <w:szCs w:val="22"/>
        </w:rPr>
        <w:t xml:space="preserve">Affiliations:</w:t>
      </w:r>
    </w:p>
    <w:p>
      <w:pPr>
        <w:spacing w:after="200" w:line="276"/>
      </w:pPr>
      <w:r>
        <w:rPr>
          <w:rFonts w:ascii="Arial" w:cs="Arial" w:eastAsia="Arial" w:hAnsi="Arial"/>
          <w:sz w:val="22"/>
          <w:szCs w:val="22"/>
          <w:vertAlign w:val="superscript"/>
        </w:rPr>
        <w:t xml:space="preserve">1</w:t>
      </w:r>
      <w:r>
        <w:rPr>
          <w:rFonts w:ascii="Arial" w:cs="Arial" w:eastAsia="Arial" w:hAnsi="Arial"/>
          <w:sz w:val="22"/>
          <w:szCs w:val="22"/>
        </w:rPr>
        <w:t xml:space="preserve">Department of Neurosurgery, Perelman School of Medicine, University of Pennsylvania, Philadelphia, Pennsylvania</w:t>
      </w:r>
    </w:p>
    <w:p>
      <w:pPr>
        <w:spacing w:after="200" w:line="276"/>
      </w:pPr>
      <w:r>
        <w:rPr>
          <w:rFonts w:ascii="Arial" w:cs="Arial" w:eastAsia="Arial" w:hAnsi="Arial"/>
          <w:sz w:val="22"/>
          <w:szCs w:val="22"/>
        </w:rPr>
        <w:t xml:space="preserve">* Corresponding author:</w:t>
      </w:r>
    </w:p>
    <w:p>
      <w:pPr>
        <w:spacing w:after="200" w:line="276"/>
      </w:pPr>
      <w:r>
        <w:rPr>
          <w:rFonts w:ascii="Arial" w:cs="Arial" w:eastAsia="Arial" w:hAnsi="Arial"/>
          <w:sz w:val="22"/>
          <w:szCs w:val="22"/>
        </w:rPr>
        <w:t xml:space="preserve">visishs@upenn.edu</w:t>
      </w:r>
    </w:p>
    <w:p>
      <w:pPr>
        <w:spacing w:after="200" w:before="240"/>
      </w:pPr>
      <w:r>
        <w:rPr>
          <w:rFonts w:ascii="Arial" w:cs="Arial" w:eastAsia="Arial" w:hAnsi="Arial"/>
          <w:b/>
          <w:bCs/>
          <w:sz w:val="22"/>
          <w:szCs w:val="22"/>
          <w:u w:val="single"/>
        </w:rPr>
        <w:t xml:space="preserve">Abstract</w:t>
      </w:r>
    </w:p>
    <w:p>
      <w:pPr>
        <w:spacing w:after="200" w:line="276"/>
      </w:pPr>
      <w:r>
        <w:rPr>
          <w:rFonts w:ascii="Arial" w:cs="Arial" w:eastAsia="Arial" w:hAnsi="Arial"/>
          <w:sz w:val="22"/>
          <w:szCs w:val="22"/>
        </w:rPr>
        <w:t xml:space="preserve">Kondepudi et al. evaluated how well NeuroVFM perceives brain scans by having it write a report and then asking a separate AI system to judge urgency from that report. Because the judge performed well on radiologists’ reports, they reasoned that errors reflected what NeuroVFM saw. Using the publicly released model on a public set of head CT scans, we found that this reasoning misses a step. NeuroVFM’s own diagnostic classifier, which reads the same image features, identified urgent scans as well as the full report pipeline did. In most urgent scans the pipeline missed, the classifier had detected the abnormality, but the written report did not mention it and usually described the scan as normal. Report-based evaluation therefore measures perception and report writing together, and it may understate what the model perceives.</w:t>
      </w:r>
    </w:p>
    <w:p>
      <w:pPr>
        <w:pageBreakBefore/>
      </w:pPr>
    </w:p>
    <w:p>
      <w:pPr>
        <w:spacing w:after="200" w:before="240"/>
      </w:pPr>
      <w:r>
        <w:rPr>
          <w:rFonts w:ascii="Arial" w:cs="Arial" w:eastAsia="Arial" w:hAnsi="Arial"/>
          <w:b/>
          <w:bCs/>
          <w:sz w:val="22"/>
          <w:szCs w:val="22"/>
          <w:u w:val="single"/>
        </w:rPr>
        <w:t xml:space="preserve">Main Text</w:t>
      </w:r>
    </w:p>
    <w:p>
      <w:pPr>
        <w:spacing w:after="200" w:line="276"/>
      </w:pPr>
      <w:r>
        <w:rPr>
          <w:rFonts w:ascii="Arial" w:cs="Arial" w:eastAsia="Arial" w:hAnsi="Arial"/>
          <w:sz w:val="22"/>
          <w:szCs w:val="22"/>
        </w:rPr>
        <w:t xml:space="preserve">When clinical AI systems are built as chains of models, an evaluation of the whole chain can attribute an error to the wrong step. Kondepudi et al.</w:t>
      </w:r>
      <w:r>
        <w:rPr>
          <w:rFonts w:ascii="Arial" w:cs="Arial" w:eastAsia="Arial" w:hAnsi="Arial"/>
          <w:sz w:val="22"/>
          <w:szCs w:val="22"/>
          <w:vertAlign w:val="superscript"/>
        </w:rPr>
        <w:t xml:space="preserve">1</w:t>
      </w:r>
      <w:r>
        <w:rPr>
          <w:rFonts w:ascii="Arial" w:cs="Arial" w:eastAsia="Arial" w:hAnsi="Arial"/>
          <w:sz w:val="22"/>
          <w:szCs w:val="22"/>
        </w:rPr>
        <w:t xml:space="preserve"> introduced NeuroVFM, a neuroimaging foundation model whose frozen encoder supports two readouts. One is a diagnostic classifier that scores 82 CT diagnoses, and the other is a language model that writes findings. To evaluate perception, the authors passed generated findings to a reasoning model that assigned acuity. Because that model assigned acuity accurately from radiologists’ findings, they concluded that acuity differences “reflect perception quality rather than reasoning ability”</w:t>
      </w:r>
      <w:r>
        <w:rPr>
          <w:rFonts w:ascii="Arial" w:cs="Arial" w:eastAsia="Arial" w:hAnsi="Arial"/>
          <w:sz w:val="22"/>
          <w:szCs w:val="22"/>
          <w:vertAlign w:val="superscript"/>
        </w:rPr>
        <w:t xml:space="preserve">1</w:t>
      </w:r>
      <w:r>
        <w:rPr>
          <w:rFonts w:ascii="Arial" w:cs="Arial" w:eastAsia="Arial" w:hAnsi="Arial"/>
          <w:sz w:val="22"/>
          <w:szCs w:val="22"/>
        </w:rPr>
        <w:t xml:space="preserve">. In their prospective study, errors were likewise attributed to missed radiographic findings rather than clinician mis-triage</w:t>
      </w:r>
      <w:r>
        <w:rPr>
          <w:rFonts w:ascii="Arial" w:cs="Arial" w:eastAsia="Arial" w:hAnsi="Arial"/>
          <w:sz w:val="22"/>
          <w:szCs w:val="22"/>
          <w:vertAlign w:val="superscript"/>
        </w:rPr>
        <w:t xml:space="preserve">1</w:t>
      </w:r>
      <w:r>
        <w:rPr>
          <w:rFonts w:ascii="Arial" w:cs="Arial" w:eastAsia="Arial" w:hAnsi="Arial"/>
          <w:sz w:val="22"/>
          <w:szCs w:val="22"/>
        </w:rPr>
        <w:t xml:space="preserve">. This design isolates the judge, but not the encoder from the report writer, and a finding can be perceived by the encoder yet omitted when the report is written. Because both readouts are public, we tested whether this occurs.</w:t>
      </w:r>
    </w:p>
    <w:p>
      <w:pPr>
        <w:spacing w:after="200" w:line="276"/>
      </w:pPr>
      <w:r>
        <w:rPr>
          <w:rFonts w:ascii="Arial" w:cs="Arial" w:eastAsia="Arial" w:hAnsi="Arial"/>
          <w:sz w:val="22"/>
          <w:szCs w:val="22"/>
        </w:rPr>
        <w:t xml:space="preserve">The classifier is a small attention-pooled network</w:t>
      </w:r>
      <w:r>
        <w:rPr>
          <w:rFonts w:ascii="Arial" w:cs="Arial" w:eastAsia="Arial" w:hAnsi="Arial"/>
          <w:sz w:val="22"/>
          <w:szCs w:val="22"/>
          <w:vertAlign w:val="superscript"/>
        </w:rPr>
        <w:t xml:space="preserve">2</w:t>
      </w:r>
      <w:r>
        <w:rPr>
          <w:rFonts w:ascii="Arial" w:cs="Arial" w:eastAsia="Arial" w:hAnsi="Arial"/>
          <w:sz w:val="22"/>
          <w:szCs w:val="22"/>
        </w:rPr>
        <w:t xml:space="preserve"> of about 0.95 million parameters, and the report path uses a 14-billion-parameter language model</w:t>
      </w:r>
      <w:r>
        <w:rPr>
          <w:rFonts w:ascii="Arial" w:cs="Arial" w:eastAsia="Arial" w:hAnsi="Arial"/>
          <w:sz w:val="22"/>
          <w:szCs w:val="22"/>
          <w:vertAlign w:val="superscript"/>
        </w:rPr>
        <w:t xml:space="preserve">3,4</w:t>
      </w:r>
      <w:r>
        <w:rPr>
          <w:rFonts w:ascii="Arial" w:cs="Arial" w:eastAsia="Arial" w:hAnsi="Arial"/>
          <w:sz w:val="22"/>
          <w:szCs w:val="22"/>
        </w:rPr>
        <w:t xml:space="preserve"> whose findings GPT-5 reads to assign acuity (Fig. 1a). We left the model unchanged and evaluated both readouts side by side. For the classifier, we scored each study by its highest score across the critical findings, with no language model and no additional training. We ran both readouts on CQ500</w:t>
      </w:r>
      <w:r>
        <w:rPr>
          <w:rFonts w:ascii="Arial" w:cs="Arial" w:eastAsia="Arial" w:hAnsi="Arial"/>
          <w:sz w:val="22"/>
          <w:szCs w:val="22"/>
          <w:vertAlign w:val="superscript"/>
        </w:rPr>
        <w:t xml:space="preserve">5</w:t>
      </w:r>
      <w:r>
        <w:rPr>
          <w:rFonts w:ascii="Arial" w:cs="Arial" w:eastAsia="Arial" w:hAnsi="Arial"/>
          <w:sz w:val="22"/>
          <w:szCs w:val="22"/>
        </w:rPr>
        <w:t xml:space="preserve">, a public set of 472 non-contrast head CTs with consensus labels from three radiologists, 206 of which contained at least one of nine critical findings. We used the released weights, prompts and GPT-5 screening model, and both readouts received identical series and CT windows. To compare them fairly, we set the classifier’s threshold so that it flagged the same fraction of studies as the report pipeline, a choice that uses no labels, and applied that threshold throughout (Methods).</w:t>
      </w:r>
    </w:p>
    <w:p>
      <w:pPr>
        <w:spacing w:after="200" w:line="276"/>
      </w:pPr>
      <w:r>
        <w:rPr>
          <w:rFonts w:ascii="Arial" w:cs="Arial" w:eastAsia="Arial" w:hAnsi="Arial"/>
          <w:sz w:val="22"/>
          <w:szCs w:val="22"/>
        </w:rPr>
        <w:t xml:space="preserve">Read directly, the classifier separated urgent from non-urgent studies with an area under the receiver operating characteristic curve of 0.949 (95% CI 0.928–0.967; Fig. 1b). The report pipeline flagged 34.1% of studies and detected 73.3% of urgent studies. At the same flag rate, the classifier detected the same fraction (difference 0.000, 95% CI −0.029 to 0.030). Equal sensitivity did not mean identical errors. Of the 206 urgent studies, </w:t>
      </w:r>
      <w:r>
        <w:rPr>
          <w:rFonts w:ascii="Arial" w:cs="Arial" w:eastAsia="Arial" w:hAnsi="Arial"/>
          <w:sz w:val="22"/>
          <w:szCs w:val="22"/>
          <w:highlight w:val="yellow"/>
          <w:highlightCs w:val="yellow"/>
        </w:rPr>
        <w:t>134</w:t>
      </w:r>
      <w:r>
        <w:rPr>
          <w:rFonts w:ascii="Arial" w:cs="Arial" w:eastAsia="Arial" w:hAnsi="Arial"/>
          <w:sz w:val="22"/>
          <w:szCs w:val="22"/>
        </w:rPr>
        <w:t xml:space="preserve"> were caught by both readouts and </w:t>
      </w:r>
      <w:r>
        <w:rPr>
          <w:rFonts w:ascii="Arial" w:cs="Arial" w:eastAsia="Arial" w:hAnsi="Arial"/>
          <w:sz w:val="22"/>
          <w:szCs w:val="22"/>
          <w:highlight w:val="yellow"/>
          <w:highlightCs w:val="yellow"/>
        </w:rPr>
        <w:t>38</w:t>
      </w:r>
      <w:r>
        <w:rPr>
          <w:rFonts w:ascii="Arial" w:cs="Arial" w:eastAsia="Arial" w:hAnsi="Arial"/>
          <w:sz w:val="22"/>
          <w:szCs w:val="22"/>
        </w:rPr>
        <w:t xml:space="preserve"> by neither, while </w:t>
      </w:r>
      <w:r>
        <w:rPr>
          <w:rFonts w:ascii="Arial" w:cs="Arial" w:eastAsia="Arial" w:hAnsi="Arial"/>
          <w:sz w:val="22"/>
          <w:szCs w:val="22"/>
          <w:highlight w:val="yellow"/>
          <w:highlightCs w:val="yellow"/>
        </w:rPr>
        <w:t>17</w:t>
      </w:r>
      <w:r>
        <w:rPr>
          <w:rFonts w:ascii="Arial" w:cs="Arial" w:eastAsia="Arial" w:hAnsi="Arial"/>
          <w:sz w:val="22"/>
          <w:szCs w:val="22"/>
        </w:rPr>
        <w:t xml:space="preserve"> were caught only by the classifier and </w:t>
      </w:r>
      <w:r>
        <w:rPr>
          <w:rFonts w:ascii="Arial" w:cs="Arial" w:eastAsia="Arial" w:hAnsi="Arial"/>
          <w:sz w:val="22"/>
          <w:szCs w:val="22"/>
          <w:highlight w:val="yellow"/>
          <w:highlightCs w:val="yellow"/>
        </w:rPr>
        <w:t>17</w:t>
      </w:r>
      <w:r>
        <w:rPr>
          <w:rFonts w:ascii="Arial" w:cs="Arial" w:eastAsia="Arial" w:hAnsi="Arial"/>
          <w:sz w:val="22"/>
          <w:szCs w:val="22"/>
        </w:rPr>
        <w:t xml:space="preserve"> only by the report (Fig. 1c). We do not claim that the classifier is superior. The two readouts share an encoder yet made different errors, so the misses of the report pipeline cannot be read as misses of the encoder.</w:t>
      </w:r>
    </w:p>
    <w:p>
      <w:pPr>
        <w:spacing w:after="200" w:line="276"/>
      </w:pPr>
      <w:r>
        <w:t>The misses of the report pipeline show where information was lost. Of the 55 urgent studies it missed, 5 had a report that named a critical finding that GPT-5 did not escalate. Of the remainder, in 40 the classifier scored the missed finding above 0.5 (median 0.92) while the report named none of the study’s critical findings, and in 10 the classifier also scored the finding at or below 0.5. Most of these silent reports read as explicitly normal, for example, “Study is unremarkable.” They were complete outputs rather than truncated or empty generations, and the language model had received the same bone window as the classifier. The omitted findings included calvarial fracture, intraparenchymal hemorrhage, subdural hematoma and mass effect (Extended Data Fig. 1). A normal-reading report is more consequential than a missing flag, because it reassures and moves a scan down the worklist. Under the original evaluation these studies would count as failures of perception, although the encoder had represented the finding.</w:t>
      </w:r>
    </w:p>
    <w:p>
      <w:pPr>
        <w:spacing w:after="200" w:line="276"/>
      </w:pPr>
      <w:r>
        <w:rPr>
          <w:rFonts w:ascii="Arial" w:cs="Arial" w:eastAsia="Arial" w:hAnsi="Arial"/>
          <w:sz w:val="22"/>
          <w:szCs w:val="22"/>
        </w:rPr>
        <w:t xml:space="preserve">These findings were robust to how misses were defined and screened. Under an alternative definition, using a classifier score above 0.5 on the highest-scoring positive finding, 40 of the 55 misses were decoding misses (Extended Data Fig. 1). The language model did not default to normal readings, describing 96% of non-urgent but only 23% of urgent studies as normal, and results were similar with Claude as the screener and with two independent judges of whether a finding was mentioned (κ = 0.97). Because the authors’ screening rules exempt some findings from escalation</w:t>
      </w:r>
      <w:r>
        <w:rPr>
          <w:rFonts w:ascii="Arial" w:cs="Arial" w:eastAsia="Arial" w:hAnsi="Arial"/>
          <w:sz w:val="22"/>
          <w:szCs w:val="22"/>
          <w:vertAlign w:val="superscript"/>
        </w:rPr>
        <w:t xml:space="preserve">1,6</w:t>
      </w:r>
      <w:r>
        <w:rPr>
          <w:rFonts w:ascii="Arial" w:cs="Arial" w:eastAsia="Arial" w:hAnsi="Arial"/>
          <w:sz w:val="22"/>
          <w:szCs w:val="22"/>
        </w:rPr>
        <w:t xml:space="preserve">, we repeated the analysis excluding studies whose only critical finding was a calvarial fracture, and </w:t>
      </w:r>
      <w:r>
        <w:rPr>
          <w:rFonts w:ascii="Arial" w:cs="Arial" w:eastAsia="Arial" w:hAnsi="Arial"/>
          <w:sz w:val="22"/>
          <w:szCs w:val="22"/>
          <w:highlight w:val="yellow"/>
          <w:highlightCs w:val="yellow"/>
        </w:rPr>
        <w:t>the sensitivity difference was unchanged (0.000, 95% CI −0.030 to 0.030)</w:t>
      </w:r>
      <w:r>
        <w:rPr>
          <w:rFonts w:ascii="Arial" w:cs="Arial" w:eastAsia="Arial" w:hAnsi="Arial"/>
          <w:sz w:val="22"/>
          <w:szCs w:val="22"/>
        </w:rPr>
        <w:t xml:space="preserve">. CQ500 lacks the clinical indications on which the report model was trained. The authors’ own ablation found </w:t>
      </w:r>
      <w:r>
        <w:rPr>
          <w:rFonts w:ascii="Arial" w:cs="Arial" w:eastAsia="Arial" w:hAnsi="Arial"/>
          <w:sz w:val="22"/>
          <w:szCs w:val="22"/>
          <w:highlight w:val="yellow"/>
          <w:highlightCs w:val="yellow"/>
        </w:rPr>
        <w:t>a small reduction in NeuroVFM’s three-tier acuity accuracy (approximately 0.80 to 0.76)</w:t>
      </w:r>
      <w:r>
        <w:rPr>
          <w:rFonts w:ascii="Arial" w:cs="Arial" w:eastAsia="Arial" w:hAnsi="Arial"/>
          <w:sz w:val="22"/>
          <w:szCs w:val="22"/>
        </w:rPr>
        <w:t xml:space="preserve"> when the indication was withheld (Extended Data Fig. 9d of ref. 1), and with a generic indication supplied, </w:t>
      </w:r>
      <w:r>
        <w:rPr>
          <w:rFonts w:ascii="Arial" w:cs="Arial" w:eastAsia="Arial" w:hAnsi="Arial"/>
          <w:sz w:val="22"/>
          <w:szCs w:val="22"/>
          <w:highlight w:val="yellow"/>
          <w:highlightCs w:val="yellow"/>
        </w:rPr>
        <w:t xml:space="preserve">{{ABLATION_RESULT}}</w:t>
      </w:r>
      <w:r>
        <w:rPr>
          <w:rFonts w:ascii="Arial" w:cs="Arial" w:eastAsia="Arial" w:hAnsi="Arial"/>
          <w:sz w:val="22"/>
          <w:szCs w:val="22"/>
        </w:rPr>
        <w:t xml:space="preserve"> (Extended Data Fig. 2). CQ500 is also enriched for urgent findings (44%, versus 13% prospectively), classifier scores were not calibrated for external data</w:t>
      </w:r>
      <w:r>
        <w:rPr>
          <w:rFonts w:ascii="Arial" w:cs="Arial" w:eastAsia="Arial" w:hAnsi="Arial"/>
          <w:sz w:val="22"/>
          <w:szCs w:val="22"/>
          <w:vertAlign w:val="superscript"/>
        </w:rPr>
        <w:t xml:space="preserve">7</w:t>
      </w:r>
      <w:r>
        <w:rPr>
          <w:rFonts w:ascii="Arial" w:cs="Arial" w:eastAsia="Arial" w:hAnsi="Arial"/>
          <w:sz w:val="22"/>
          <w:szCs w:val="22"/>
        </w:rPr>
        <w:t xml:space="preserve"> and we could not examine the 21 prospective misses.</w:t>
      </w:r>
    </w:p>
    <w:p>
      <w:pPr>
        <w:spacing w:after="200" w:line="276"/>
      </w:pPr>
      <w:r>
        <w:rPr>
          <w:rFonts w:ascii="Arial" w:cs="Arial" w:eastAsia="Arial" w:hAnsi="Arial"/>
          <w:sz w:val="22"/>
          <w:szCs w:val="22"/>
        </w:rPr>
        <w:t xml:space="preserve">We do not dispute the strength of NeuroVFM. Our results suggest that its encoder perceives more than the report-based evaluation credited. The authors anticipate reasoning models acting on structured, calibrated outputs from NeuroVFM</w:t>
      </w:r>
      <w:r>
        <w:rPr>
          <w:rFonts w:ascii="Arial" w:cs="Arial" w:eastAsia="Arial" w:hAnsi="Arial"/>
          <w:sz w:val="22"/>
          <w:szCs w:val="22"/>
          <w:vertAlign w:val="superscript"/>
        </w:rPr>
        <w:t xml:space="preserve">1</w:t>
      </w:r>
      <w:r>
        <w:rPr>
          <w:rFonts w:ascii="Arial" w:cs="Arial" w:eastAsia="Arial" w:hAnsi="Arial"/>
          <w:sz w:val="22"/>
          <w:szCs w:val="22"/>
        </w:rPr>
        <w:t xml:space="preserve">. The diagnostic classifier already provides such outputs, and our results suggest that triage, and evaluations of perception, should be measured through them as well as through generated text. Reporting classifier scores for the 21 prospective urgent misses would show directly how many were failures of perception and how many were failures of report generation. More generally, when a chain of models is evaluated only through the text it produces, errors of writing can be mistaken for errors of seeing</w:t>
      </w:r>
      <w:r>
        <w:rPr>
          <w:rFonts w:ascii="Arial" w:cs="Arial" w:eastAsia="Arial" w:hAnsi="Arial"/>
          <w:sz w:val="22"/>
          <w:szCs w:val="22"/>
          <w:vertAlign w:val="superscript"/>
        </w:rPr>
        <w:t xml:space="preserve">8</w:t>
      </w:r>
      <w:r>
        <w:rPr>
          <w:rFonts w:ascii="Arial" w:cs="Arial" w:eastAsia="Arial" w:hAnsi="Arial"/>
          <w:sz w:val="22"/>
          <w:szCs w:val="22"/>
        </w:rPr>
        <w:t xml:space="preserve">, which would point developers toward larger models when a different readout may be what is needed.</w:t>
      </w:r>
    </w:p>
    <w:p>
      <w:pPr>
        <w:spacing w:after="200" w:before="240"/>
      </w:pPr>
      <w:r>
        <w:rPr>
          <w:rFonts w:ascii="Arial" w:cs="Arial" w:eastAsia="Arial" w:hAnsi="Arial"/>
          <w:b/>
          <w:bCs/>
          <w:sz w:val="22"/>
          <w:szCs w:val="22"/>
          <w:u w:val="single"/>
        </w:rPr>
        <w:t xml:space="preserve">References</w:t>
      </w:r>
    </w:p>
    <w:p>
      <w:pPr>
        <w:spacing w:after="200" w:line="276"/>
      </w:pPr>
      <w:r>
        <w:rPr>
          <w:rFonts w:ascii="Arial" w:cs="Arial" w:eastAsia="Arial" w:hAnsi="Arial"/>
          <w:sz w:val="22"/>
          <w:szCs w:val="22"/>
        </w:rPr>
        <w:t xml:space="preserve">1. Kondepudi, A. </w:t>
      </w:r>
      <w:r>
        <w:rPr>
          <w:rFonts w:ascii="Arial" w:cs="Arial" w:eastAsia="Arial" w:hAnsi="Arial"/>
          <w:i/>
          <w:iCs/>
          <w:sz w:val="22"/>
          <w:szCs w:val="22"/>
        </w:rPr>
        <w:t xml:space="preserve">et al.</w:t>
      </w:r>
      <w:r>
        <w:rPr>
          <w:rFonts w:ascii="Arial" w:cs="Arial" w:eastAsia="Arial" w:hAnsi="Arial"/>
          <w:sz w:val="22"/>
          <w:szCs w:val="22"/>
        </w:rPr>
        <w:t xml:space="preserve"> Health system learning enables generalist neuroimaging models. </w:t>
      </w:r>
      <w:r>
        <w:rPr>
          <w:rFonts w:ascii="Arial" w:cs="Arial" w:eastAsia="Arial" w:hAnsi="Arial"/>
          <w:i/>
          <w:iCs/>
          <w:sz w:val="22"/>
          <w:szCs w:val="22"/>
        </w:rPr>
        <w:t xml:space="preserve">Nat. Med.</w:t>
      </w:r>
      <w:r>
        <w:rPr>
          <w:rFonts w:ascii="Arial" w:cs="Arial" w:eastAsia="Arial" w:hAnsi="Arial"/>
          <w:sz w:val="22"/>
          <w:szCs w:val="22"/>
        </w:rPr>
        <w:t xml:space="preserve"> </w:t>
      </w:r>
      <w:r>
        <w:rPr>
          <w:rFonts w:ascii="Arial" w:cs="Arial" w:eastAsia="Arial" w:hAnsi="Arial"/>
          <w:b/>
          <w:bCs/>
          <w:sz w:val="22"/>
          <w:szCs w:val="22"/>
        </w:rPr>
        <w:t xml:space="preserve">32</w:t>
      </w:r>
      <w:r>
        <w:rPr>
          <w:rFonts w:ascii="Arial" w:cs="Arial" w:eastAsia="Arial" w:hAnsi="Arial"/>
          <w:sz w:val="22"/>
          <w:szCs w:val="22"/>
        </w:rPr>
        <w:t xml:space="preserve">, 2831–2837 (2026).</w:t>
      </w:r>
    </w:p>
    <w:p>
      <w:pPr>
        <w:spacing w:after="200" w:line="276"/>
      </w:pPr>
      <w:r>
        <w:rPr>
          <w:rFonts w:ascii="Arial" w:cs="Arial" w:eastAsia="Arial" w:hAnsi="Arial"/>
          <w:sz w:val="22"/>
          <w:szCs w:val="22"/>
        </w:rPr>
        <w:t xml:space="preserve">2. Ilse, M., Tomczak, J. &amp; Welling, M. Attention-based deep multiple instance learning. In </w:t>
      </w:r>
      <w:r>
        <w:rPr>
          <w:rFonts w:ascii="Arial" w:cs="Arial" w:eastAsia="Arial" w:hAnsi="Arial"/>
          <w:i/>
          <w:iCs/>
          <w:sz w:val="22"/>
          <w:szCs w:val="22"/>
        </w:rPr>
        <w:t xml:space="preserve">Proc. 35th International Conference on Machine Learning</w:t>
      </w:r>
      <w:r>
        <w:rPr>
          <w:rFonts w:ascii="Arial" w:cs="Arial" w:eastAsia="Arial" w:hAnsi="Arial"/>
          <w:sz w:val="22"/>
          <w:szCs w:val="22"/>
        </w:rPr>
        <w:t xml:space="preserve"> 2127–2136 (PMLR, 2018).</w:t>
      </w:r>
    </w:p>
    <w:p>
      <w:pPr>
        <w:spacing w:after="200" w:line="276"/>
      </w:pPr>
      <w:r>
        <w:rPr>
          <w:rFonts w:ascii="Arial" w:cs="Arial" w:eastAsia="Arial" w:hAnsi="Arial"/>
          <w:sz w:val="22"/>
          <w:szCs w:val="22"/>
        </w:rPr>
        <w:t xml:space="preserve">3. Liu, H., Li, C., Li, Y. &amp; Lee, Y. J. Improved baselines with visual instruction tuning. In </w:t>
      </w:r>
      <w:r>
        <w:rPr>
          <w:rFonts w:ascii="Arial" w:cs="Arial" w:eastAsia="Arial" w:hAnsi="Arial"/>
          <w:i/>
          <w:iCs/>
          <w:sz w:val="22"/>
          <w:szCs w:val="22"/>
        </w:rPr>
        <w:t xml:space="preserve">2024 IEEE/CVF Conference on Computer Vision and Pattern Recognition</w:t>
      </w:r>
      <w:r>
        <w:rPr>
          <w:rFonts w:ascii="Arial" w:cs="Arial" w:eastAsia="Arial" w:hAnsi="Arial"/>
          <w:sz w:val="22"/>
          <w:szCs w:val="22"/>
        </w:rPr>
        <w:t xml:space="preserve"> 26286–26296 (IEEE, 2024).</w:t>
      </w:r>
    </w:p>
    <w:p>
      <w:pPr>
        <w:spacing w:after="200" w:line="276"/>
      </w:pPr>
      <w:r>
        <w:rPr>
          <w:rFonts w:ascii="Arial" w:cs="Arial" w:eastAsia="Arial" w:hAnsi="Arial"/>
          <w:sz w:val="22"/>
          <w:szCs w:val="22"/>
        </w:rPr>
        <w:t xml:space="preserve">4. Yang, A. </w:t>
      </w:r>
      <w:r>
        <w:rPr>
          <w:rFonts w:ascii="Arial" w:cs="Arial" w:eastAsia="Arial" w:hAnsi="Arial"/>
          <w:i/>
          <w:iCs/>
          <w:sz w:val="22"/>
          <w:szCs w:val="22"/>
        </w:rPr>
        <w:t xml:space="preserve">et al.</w:t>
      </w:r>
      <w:r>
        <w:rPr>
          <w:rFonts w:ascii="Arial" w:cs="Arial" w:eastAsia="Arial" w:hAnsi="Arial"/>
          <w:sz w:val="22"/>
          <w:szCs w:val="22"/>
        </w:rPr>
        <w:t xml:space="preserve"> Qwen3 technical report. Preprint at https://arxiv.org/abs/2505.09388 (2025).</w:t>
      </w:r>
    </w:p>
    <w:p>
      <w:pPr>
        <w:spacing w:after="200" w:line="276"/>
      </w:pPr>
      <w:r>
        <w:rPr>
          <w:rFonts w:ascii="Arial" w:cs="Arial" w:eastAsia="Arial" w:hAnsi="Arial"/>
          <w:sz w:val="22"/>
          <w:szCs w:val="22"/>
        </w:rPr>
        <w:t xml:space="preserve">5. Chilamkurthy, S. </w:t>
      </w:r>
      <w:r>
        <w:rPr>
          <w:rFonts w:ascii="Arial" w:cs="Arial" w:eastAsia="Arial" w:hAnsi="Arial"/>
          <w:i/>
          <w:iCs/>
          <w:sz w:val="22"/>
          <w:szCs w:val="22"/>
        </w:rPr>
        <w:t xml:space="preserve">et al.</w:t>
      </w:r>
      <w:r>
        <w:rPr>
          <w:rFonts w:ascii="Arial" w:cs="Arial" w:eastAsia="Arial" w:hAnsi="Arial"/>
          <w:sz w:val="22"/>
          <w:szCs w:val="22"/>
        </w:rPr>
        <w:t xml:space="preserve"> Deep learning algorithms for detection of critical findings in head CT scans: a retrospective study. </w:t>
      </w:r>
      <w:r>
        <w:rPr>
          <w:rFonts w:ascii="Arial" w:cs="Arial" w:eastAsia="Arial" w:hAnsi="Arial"/>
          <w:i/>
          <w:iCs/>
          <w:sz w:val="22"/>
          <w:szCs w:val="22"/>
        </w:rPr>
        <w:t xml:space="preserve">Lancet</w:t>
      </w:r>
      <w:r>
        <w:rPr>
          <w:rFonts w:ascii="Arial" w:cs="Arial" w:eastAsia="Arial" w:hAnsi="Arial"/>
          <w:sz w:val="22"/>
          <w:szCs w:val="22"/>
        </w:rPr>
        <w:t xml:space="preserve"> </w:t>
      </w:r>
      <w:r>
        <w:rPr>
          <w:rFonts w:ascii="Arial" w:cs="Arial" w:eastAsia="Arial" w:hAnsi="Arial"/>
          <w:b/>
          <w:bCs/>
          <w:sz w:val="22"/>
          <w:szCs w:val="22"/>
        </w:rPr>
        <w:t xml:space="preserve">392</w:t>
      </w:r>
      <w:r>
        <w:rPr>
          <w:rFonts w:ascii="Arial" w:cs="Arial" w:eastAsia="Arial" w:hAnsi="Arial"/>
          <w:sz w:val="22"/>
          <w:szCs w:val="22"/>
        </w:rPr>
        <w:t xml:space="preserve">, 2388–2396 (2018).</w:t>
      </w:r>
    </w:p>
    <w:p>
      <w:pPr>
        <w:spacing w:after="200" w:line="276"/>
      </w:pPr>
      <w:r>
        <w:rPr>
          <w:rFonts w:ascii="Arial" w:cs="Arial" w:eastAsia="Arial" w:hAnsi="Arial"/>
          <w:sz w:val="22"/>
          <w:szCs w:val="22"/>
        </w:rPr>
        <w:t xml:space="preserve">6. Babiarz, L. S. </w:t>
      </w:r>
      <w:r>
        <w:rPr>
          <w:rFonts w:ascii="Arial" w:cs="Arial" w:eastAsia="Arial" w:hAnsi="Arial"/>
          <w:i/>
          <w:iCs/>
          <w:sz w:val="22"/>
          <w:szCs w:val="22"/>
        </w:rPr>
        <w:t xml:space="preserve">et al.</w:t>
      </w:r>
      <w:r>
        <w:rPr>
          <w:rFonts w:ascii="Arial" w:cs="Arial" w:eastAsia="Arial" w:hAnsi="Arial"/>
          <w:sz w:val="22"/>
          <w:szCs w:val="22"/>
        </w:rPr>
        <w:t xml:space="preserve"> Neuroradiology critical findings lists: survey of neuroradiology training programs. </w:t>
      </w:r>
      <w:r>
        <w:rPr>
          <w:rFonts w:ascii="Arial" w:cs="Arial" w:eastAsia="Arial" w:hAnsi="Arial"/>
          <w:i/>
          <w:iCs/>
          <w:sz w:val="22"/>
          <w:szCs w:val="22"/>
        </w:rPr>
        <w:t xml:space="preserve">AJNR Am. J. Neuroradiol.</w:t>
      </w:r>
      <w:r>
        <w:rPr>
          <w:rFonts w:ascii="Arial" w:cs="Arial" w:eastAsia="Arial" w:hAnsi="Arial"/>
          <w:sz w:val="22"/>
          <w:szCs w:val="22"/>
        </w:rPr>
        <w:t xml:space="preserve"> </w:t>
      </w:r>
      <w:r>
        <w:rPr>
          <w:rFonts w:ascii="Arial" w:cs="Arial" w:eastAsia="Arial" w:hAnsi="Arial"/>
          <w:b/>
          <w:bCs/>
          <w:sz w:val="22"/>
          <w:szCs w:val="22"/>
        </w:rPr>
        <w:t xml:space="preserve">34</w:t>
      </w:r>
      <w:r>
        <w:rPr>
          <w:rFonts w:ascii="Arial" w:cs="Arial" w:eastAsia="Arial" w:hAnsi="Arial"/>
          <w:sz w:val="22"/>
          <w:szCs w:val="22"/>
        </w:rPr>
        <w:t xml:space="preserve">, 735–739 (2013).</w:t>
      </w:r>
    </w:p>
    <w:p>
      <w:pPr>
        <w:spacing w:after="200" w:line="276"/>
      </w:pPr>
      <w:r>
        <w:rPr>
          <w:rFonts w:ascii="Arial" w:cs="Arial" w:eastAsia="Arial" w:hAnsi="Arial"/>
          <w:sz w:val="22"/>
          <w:szCs w:val="22"/>
        </w:rPr>
        <w:t xml:space="preserve">7. Guo, C., Pleiss, G., Sun, Y. &amp; Weinberger, K. Q. On calibration of modern neural networks. In </w:t>
      </w:r>
      <w:r>
        <w:rPr>
          <w:rFonts w:ascii="Arial" w:cs="Arial" w:eastAsia="Arial" w:hAnsi="Arial"/>
          <w:i/>
          <w:iCs/>
          <w:sz w:val="22"/>
          <w:szCs w:val="22"/>
        </w:rPr>
        <w:t xml:space="preserve">Proc. 34th International Conference on Machine Learning</w:t>
      </w:r>
      <w:r>
        <w:rPr>
          <w:rFonts w:ascii="Arial" w:cs="Arial" w:eastAsia="Arial" w:hAnsi="Arial"/>
          <w:sz w:val="22"/>
          <w:szCs w:val="22"/>
        </w:rPr>
        <w:t xml:space="preserve"> 1321–1330 (PMLR, 2017).</w:t>
      </w:r>
    </w:p>
    <w:p>
      <w:pPr>
        <w:spacing w:after="200" w:line="276"/>
      </w:pPr>
      <w:r>
        <w:rPr>
          <w:rFonts w:ascii="Arial" w:cs="Arial" w:eastAsia="Arial" w:hAnsi="Arial"/>
          <w:sz w:val="22"/>
          <w:szCs w:val="22"/>
        </w:rPr>
        <w:t xml:space="preserve">8. Manrai, A. K. Medical AI has a measurement problem. </w:t>
      </w:r>
      <w:r>
        <w:rPr>
          <w:rFonts w:ascii="Arial" w:cs="Arial" w:eastAsia="Arial" w:hAnsi="Arial"/>
          <w:i/>
          <w:iCs/>
          <w:sz w:val="22"/>
          <w:szCs w:val="22"/>
        </w:rPr>
        <w:t xml:space="preserve">Nature</w:t>
      </w:r>
      <w:r>
        <w:rPr>
          <w:rFonts w:ascii="Arial" w:cs="Arial" w:eastAsia="Arial" w:hAnsi="Arial"/>
          <w:sz w:val="22"/>
          <w:szCs w:val="22"/>
        </w:rPr>
        <w:t xml:space="preserve"> </w:t>
      </w:r>
      <w:r>
        <w:rPr>
          <w:rFonts w:ascii="Arial" w:cs="Arial" w:eastAsia="Arial" w:hAnsi="Arial"/>
          <w:b/>
          <w:bCs/>
          <w:sz w:val="22"/>
          <w:szCs w:val="22"/>
        </w:rPr>
        <w:t xml:space="preserve">655</w:t>
      </w:r>
      <w:r>
        <w:rPr>
          <w:rFonts w:ascii="Arial" w:cs="Arial" w:eastAsia="Arial" w:hAnsi="Arial"/>
          <w:sz w:val="22"/>
          <w:szCs w:val="22"/>
        </w:rPr>
        <w:t xml:space="preserve">, 1138–1139 (2026).</w:t>
      </w:r>
    </w:p>
    <w:p>
      <w:pPr>
        <w:spacing w:after="200" w:line="276"/>
      </w:pPr>
      <w:r>
        <w:rPr>
          <w:rFonts w:ascii="Arial" w:cs="Arial" w:eastAsia="Arial" w:hAnsi="Arial"/>
          <w:sz w:val="22"/>
          <w:szCs w:val="22"/>
        </w:rPr>
        <w:t xml:space="preserve">9. Efron, B. &amp; Tibshirani, R. J. </w:t>
      </w:r>
      <w:r>
        <w:rPr>
          <w:rFonts w:ascii="Arial" w:cs="Arial" w:eastAsia="Arial" w:hAnsi="Arial"/>
          <w:i/>
          <w:iCs/>
          <w:sz w:val="22"/>
          <w:szCs w:val="22"/>
        </w:rPr>
        <w:t xml:space="preserve">An Introduction to the Bootstrap</w:t>
      </w:r>
      <w:r>
        <w:rPr>
          <w:rFonts w:ascii="Arial" w:cs="Arial" w:eastAsia="Arial" w:hAnsi="Arial"/>
          <w:sz w:val="22"/>
          <w:szCs w:val="22"/>
        </w:rPr>
        <w:t xml:space="preserve"> (Chapman &amp; Hall, 1993).</w:t>
      </w:r>
    </w:p>
    <w:p>
      <w:pPr>
        <w:pageBreakBefore/>
      </w:pPr>
    </w:p>
    <w:p>
      <w:pPr>
        <w:spacing w:after="200" w:before="240"/>
      </w:pPr>
      <w:r>
        <w:rPr>
          <w:rFonts w:ascii="Arial" w:cs="Arial" w:eastAsia="Arial" w:hAnsi="Arial"/>
          <w:b/>
          <w:bCs/>
          <w:sz w:val="22"/>
          <w:szCs w:val="22"/>
          <w:u w:val="single"/>
        </w:rPr>
        <w:t xml:space="preserve">Figure Legends</w:t>
      </w:r>
    </w:p>
    <w:p>
      <w:pPr>
        <w:spacing w:after="200" w:line="276"/>
      </w:pPr>
      <w:r>
        <w:rPr>
          <w:b/>
        </w:rPr>
        <w:t xml:space="preserve">Fig. 1. </w:t>
      </w:r>
      <w:r>
        <w:t>NeuroVFM’s diagnostic classifier detects most urgent findings that its written reports omit, so report-based evaluation does not isolate perception. a,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subarachnoid hemorrhage: the classifier scored the finding at 0.99 and flagged the study, whereas the generated report read “Study is unremarkable.” and the study was not escalated. b,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c, Agreement between the two readouts on the 206 urgent studies at the matched flag rate: caught by both (134), by the classifier only (17), by the report only (17) or by neither (38). d, Classifier score on the missed finding for each of the 55 urgent studies the report pipeline missed. Dotted line, 0.5 (the primary decoding threshold); solid line, the matched triage threshold (0.98). Filled blue markers, decoding misses, in which the classifier scored the missed finding above 0.5 while the report named none of the study’s critical findings (n = 40). Grey markers, perception misses, in which that score was 0.5 or below (n = 10). Open markers, reasoning misses, in which the report named a critical finding that GPT-5 did not escalate (n = 5). Confidence intervals are from 2,000 study-level bootstrap resamples.</w:t>
      </w:r>
    </w:p>
    <w:p>
      <w:pPr>
        <w:spacing w:after="200" w:line="276"/>
      </w:pPr>
      <w:r>
        <w:rPr>
          <w:b/>
        </w:rPr>
        <w:t xml:space="preserve">Extended Data Fig. 1. </w:t>
      </w:r>
      <w:r>
        <w:t>Decomposition of report-pipeline misses under alternative definitions and screening models. a, Decomposition of the 55 misses under the primary definition (classifier score above 0.5 on the highest-scoring positive finding, report silent on all positive findings: 40 decoding, 10 perception, 5 reasoning) and under the sensitivity definition (classifier flag at the matched triage threshold: 13 decoding, 37 perception, 5 reasoning). b, The same decomposition with Claude as the screening model (34 decoding, 10 perception, 4 reasoning of 48 misses under the primary definition; 11 decoding, 33 perception, 4 reasoning under the sensitivity definition). Acuity agreement between the two screeners was 96.6%. c, Decoding misses by critical finding (calvarial fracture 9, intraparenchymal hemorrhage 8, intracranial hemorrhage 8, subdural hematoma 5, mass effect 5, subarachnoid hemorrhage 3, epidural hematoma 2). d, Fraction of generated reports reading as normal among urgent (23%) and non-urgent (96%) studies. e, Agreement on whether each reference finding was mentioned, between GPT-5 and Claude as judges (mean κ 0.97) and between each judge and a rule-based detector (κ 0.92 or higher for hemorrhage findings).</w:t>
      </w:r>
    </w:p>
    <w:p>
      <w:pPr>
        <w:spacing w:after="200" w:line="276"/>
      </w:pPr>
      <w:r>
        <w:rPr>
          <w:rFonts w:ascii="Arial" w:cs="Arial" w:eastAsia="Arial" w:hAnsi="Arial"/>
          <w:b/>
          <w:bCs/>
          <w:sz w:val="22"/>
          <w:szCs w:val="22"/>
        </w:rPr>
        <w:t xml:space="preserve">Extended Data Fig. 2. Clinical indication, urgency definition, calibration and prevalence.</w:t>
      </w:r>
      <w:r>
        <w:rPr>
          <w:rFonts w:ascii="Arial" w:cs="Arial" w:eastAsia="Arial" w:hAnsi="Arial"/>
          <w:sz w:val="22"/>
          <w:szCs w:val="22"/>
        </w:rPr>
        <w:t xml:space="preserve"> </w:t>
      </w:r>
      <w:r>
        <w:rPr>
          <w:rFonts w:ascii="Arial" w:cs="Arial" w:eastAsia="Arial" w:hAnsi="Arial"/>
          <w:b/>
          <w:bCs/>
          <w:sz w:val="22"/>
          <w:szCs w:val="22"/>
        </w:rPr>
        <w:t xml:space="preserve">a</w:t>
      </w:r>
      <w:r>
        <w:rPr>
          <w:rFonts w:ascii="Arial" w:cs="Arial" w:eastAsia="Arial" w:hAnsi="Arial"/>
          <w:sz w:val="22"/>
          <w:szCs w:val="22"/>
        </w:rPr>
        <w:t xml:space="preserve">, Decomposition of misses with no clinical indication (as in the main analysis), with the indication “head trauma” and with the indication “headache” (</w:t>
      </w:r>
      <w:r>
        <w:rPr>
          <w:rFonts w:ascii="Arial" w:cs="Arial" w:eastAsia="Arial" w:hAnsi="Arial"/>
          <w:sz w:val="22"/>
          <w:szCs w:val="22"/>
          <w:highlight w:val="yellow"/>
          <w:highlightCs w:val="yellow"/>
        </w:rPr>
        <w:t xml:space="preserve">{{ED2_ABLATION_SUMMARY}}</w:t>
      </w:r>
      <w:r>
        <w:rPr>
          <w:rFonts w:ascii="Arial" w:cs="Arial" w:eastAsia="Arial" w:hAnsi="Arial"/>
          <w:sz w:val="22"/>
          <w:szCs w:val="22"/>
        </w:rPr>
        <w:t xml:space="preserve">). </w:t>
      </w:r>
      <w:r>
        <w:rPr>
          <w:rFonts w:ascii="Arial" w:cs="Arial" w:eastAsia="Arial" w:hAnsi="Arial"/>
          <w:b/>
          <w:bCs/>
          <w:sz w:val="22"/>
          <w:szCs w:val="22"/>
        </w:rPr>
        <w:t xml:space="preserve">b</w:t>
      </w:r>
      <w:r>
        <w:rPr>
          <w:rFonts w:ascii="Arial" w:cs="Arial" w:eastAsia="Arial" w:hAnsi="Arial"/>
          <w:sz w:val="22"/>
          <w:szCs w:val="22"/>
        </w:rPr>
        <w:t xml:space="preserve">, Sensitivity at the matched flag rate and decomposition of misses after excluding studies whose only critical finding was a calvarial fracture (</w:t>
      </w:r>
      <w:r>
        <w:rPr>
          <w:rFonts w:ascii="Arial" w:cs="Arial" w:eastAsia="Arial" w:hAnsi="Arial"/>
          <w:sz w:val="22"/>
          <w:szCs w:val="22"/>
          <w:highlight w:val="yellow"/>
          <w:highlightCs w:val="yellow"/>
        </w:rPr>
        <w:t>After excluding the four studies whose only critical finding was calvarial fracture (n = 468, 202 urgent), the sensitivity difference remained 0.000 (95% CI −0.030 to 0.030; AUROC 0.948) and the 51 misses decomposed as 37 decoding, 9 perception and 5 reasoning under the primary definition</w:t>
      </w:r>
      <w:r>
        <w:rPr>
          <w:rFonts w:ascii="Arial" w:cs="Arial" w:eastAsia="Arial" w:hAnsi="Arial"/>
          <w:sz w:val="22"/>
          <w:szCs w:val="22"/>
        </w:rPr>
        <w:t xml:space="preserve">). </w:t>
      </w:r>
      <w:r>
        <w:rPr>
          <w:rFonts w:ascii="Arial" w:cs="Arial" w:eastAsia="Arial" w:hAnsi="Arial"/>
          <w:b/>
          <w:bCs/>
          <w:sz w:val="22"/>
          <w:szCs w:val="22"/>
        </w:rPr>
        <w:t xml:space="preserve">c</w:t>
      </w:r>
      <w:r>
        <w:rPr>
          <w:rFonts w:ascii="Arial" w:cs="Arial" w:eastAsia="Arial" w:hAnsi="Arial"/>
          <w:sz w:val="22"/>
          <w:szCs w:val="22"/>
        </w:rPr>
        <w:t xml:space="preserve">, Reliability diagram for classifier scores pooled over the nine critical findings (expected calibration error 0.25). The classifier discriminates well on external data but is not calibrated to it, so we describe its outputs as scores rather than probabilities. </w:t>
      </w:r>
      <w:r>
        <w:rPr>
          <w:rFonts w:ascii="Arial" w:cs="Arial" w:eastAsia="Arial" w:hAnsi="Arial"/>
          <w:b/>
          <w:bCs/>
          <w:sz w:val="22"/>
          <w:szCs w:val="22"/>
        </w:rPr>
        <w:t xml:space="preserve">d</w:t>
      </w:r>
      <w:r>
        <w:rPr>
          <w:rFonts w:ascii="Arial" w:cs="Arial" w:eastAsia="Arial" w:hAnsi="Arial"/>
          <w:sz w:val="22"/>
          <w:szCs w:val="22"/>
        </w:rPr>
        <w:t xml:space="preserve">, Sensitivity versus fraction flagged with the flag-rate axis reweighted to the 13% urgent prevalence of the original prospective study.</w:t>
      </w:r>
    </w:p>
    <w:p>
      <w:pPr>
        <w:spacing w:after="200" w:line="276"/>
      </w:pPr>
      <w:r>
        <w:rPr>
          <w:rFonts w:ascii="Arial" w:cs="Arial" w:eastAsia="Arial" w:hAnsi="Arial"/>
          <w:b/>
          <w:bCs/>
          <w:sz w:val="22"/>
          <w:szCs w:val="22"/>
        </w:rPr>
        <w:t xml:space="preserve">Extended Data Fig. 3. Representative decoding misses.</w:t>
      </w:r>
      <w:r>
        <w:rPr>
          <w:rFonts w:ascii="Arial" w:cs="Arial" w:eastAsia="Arial" w:hAnsi="Arial"/>
          <w:sz w:val="22"/>
          <w:szCs w:val="22"/>
        </w:rPr>
        <w:t xml:space="preserve"> </w:t>
      </w:r>
      <w:r>
        <w:rPr>
          <w:rFonts w:ascii="Arial" w:cs="Arial" w:eastAsia="Arial" w:hAnsi="Arial"/>
          <w:sz w:val="22"/>
          <w:szCs w:val="22"/>
          <w:highlight w:val="yellow"/>
          <w:highlightCs w:val="yellow"/>
        </w:rPr>
        <w:t>Six</w:t>
      </w:r>
      <w:r>
        <w:rPr>
          <w:rFonts w:ascii="Arial" w:cs="Arial" w:eastAsia="Arial" w:hAnsi="Arial"/>
          <w:sz w:val="22"/>
          <w:szCs w:val="22"/>
        </w:rPr>
        <w:t xml:space="preserve"> CQ500 studies in which the generated report omitted an urgent finding. For each, a key axial slice, the classifier’s scores for the nine critical findings and the generated report verbatim. </w:t>
      </w:r>
      <w:r>
        <w:rPr>
          <w:rFonts w:ascii="Arial" w:cs="Arial" w:eastAsia="Arial" w:hAnsi="Arial"/>
          <w:sz w:val="22"/>
          <w:szCs w:val="22"/>
          <w:highlight w:val="yellow"/>
          <w:highlightCs w:val="yellow"/>
        </w:rPr>
        <w:t>The examples span subarachnoid hemorrhage, intraparenchymal hemorrhage, subdural hematoma, intracranial hemorrhage, calvarial fracture and mass effect; in each the classifier scored the finding above 0.96 while the report read as normal.</w:t>
      </w:r>
    </w:p>
    <w:p>
      <w:pPr>
        <w:pageBreakBefore/>
      </w:pPr>
    </w:p>
    <w:p>
      <w:pPr>
        <w:spacing w:after="200" w:before="240"/>
      </w:pPr>
      <w:r>
        <w:rPr>
          <w:rFonts w:ascii="Arial" w:cs="Arial" w:eastAsia="Arial" w:hAnsi="Arial"/>
          <w:b/>
          <w:bCs/>
          <w:sz w:val="22"/>
          <w:szCs w:val="22"/>
          <w:u w:val="single"/>
        </w:rPr>
        <w:t xml:space="preserve">Methods</w:t>
      </w:r>
    </w:p>
    <w:p>
      <w:pPr>
        <w:keepNext/>
        <w:spacing w:after="120"/>
      </w:pPr>
      <w:r>
        <w:rPr>
          <w:rFonts w:ascii="Arial" w:cs="Arial" w:eastAsia="Arial" w:hAnsi="Arial"/>
          <w:b/>
          <w:bCs/>
          <w:sz w:val="22"/>
          <w:szCs w:val="22"/>
        </w:rPr>
        <w:t xml:space="preserve">Cohort and reference standard</w:t>
      </w:r>
    </w:p>
    <w:p>
      <w:pPr>
        <w:spacing w:after="200" w:line="276"/>
      </w:pPr>
      <w:r>
        <w:rPr>
          <w:rFonts w:ascii="Arial" w:cs="Arial" w:eastAsia="Arial" w:hAnsi="Arial"/>
          <w:sz w:val="22"/>
          <w:szCs w:val="22"/>
        </w:rPr>
        <w:t xml:space="preserve">CQ500 is a public set of non-contrast head CT studies with independent reads from three radiologists</w:t>
      </w:r>
      <w:r>
        <w:rPr>
          <w:rFonts w:ascii="Arial" w:cs="Arial" w:eastAsia="Arial" w:hAnsi="Arial"/>
          <w:sz w:val="22"/>
          <w:szCs w:val="22"/>
          <w:vertAlign w:val="superscript"/>
        </w:rPr>
        <w:t xml:space="preserve">5</w:t>
      </w:r>
      <w:r>
        <w:rPr>
          <w:rFonts w:ascii="Arial" w:cs="Arial" w:eastAsia="Arial" w:hAnsi="Arial"/>
          <w:sz w:val="22"/>
          <w:szCs w:val="22"/>
        </w:rPr>
        <w:t xml:space="preserve">. Of 491 studies with reads, 472 had loadable images and a consensus label and formed the analysis set. A finding was positive when at least two of three readers marked it. Nine findings were treated as critical: intracranial, intraparenchymal, intraventricular, epidural and subarachnoid hemorrhage, subdural hematoma, calvarial fracture, mass effect and midline shift. A study was urgent if any was present (206 of 472, 44%). Kondepudi et al. evaluated encoders on CQ500 by training probes on CQ500 itself, and in that setting NeuroVFM underperformed a report-supervised model on most tasks</w:t>
      </w:r>
      <w:r>
        <w:rPr>
          <w:rFonts w:ascii="Arial" w:cs="Arial" w:eastAsia="Arial" w:hAnsi="Arial"/>
          <w:sz w:val="22"/>
          <w:szCs w:val="22"/>
          <w:vertAlign w:val="superscript"/>
        </w:rPr>
        <w:t xml:space="preserve">1</w:t>
      </w:r>
      <w:r>
        <w:rPr>
          <w:rFonts w:ascii="Arial" w:cs="Arial" w:eastAsia="Arial" w:hAnsi="Arial"/>
          <w:sz w:val="22"/>
          <w:szCs w:val="22"/>
        </w:rPr>
        <w:t xml:space="preserve">. We instead applied the released classifier, trained on the authors’ institutional data, without any CQ500 training, and evaluated a study-level urgency score rather than individual labels, so the two analyses are not directly comparable. Against the authors’ consensus critical-findings list</w:t>
      </w:r>
      <w:r>
        <w:rPr>
          <w:rFonts w:ascii="Arial" w:cs="Arial" w:eastAsia="Arial" w:hAnsi="Arial"/>
          <w:sz w:val="22"/>
          <w:szCs w:val="22"/>
          <w:vertAlign w:val="superscript"/>
        </w:rPr>
        <w:t xml:space="preserve">1,6</w:t>
      </w:r>
      <w:r>
        <w:rPr>
          <w:rFonts w:ascii="Arial" w:cs="Arial" w:eastAsia="Arial" w:hAnsi="Arial"/>
          <w:sz w:val="22"/>
          <w:szCs w:val="22"/>
        </w:rPr>
        <w:t xml:space="preserve">, the 82 NeuroVFM CT labels covered </w:t>
      </w:r>
      <w:r>
        <w:rPr>
          <w:rFonts w:ascii="Arial" w:cs="Arial" w:eastAsia="Arial" w:hAnsi="Arial"/>
          <w:sz w:val="22"/>
          <w:szCs w:val="22"/>
          <w:highlight w:val="yellow"/>
          <w:highlightCs w:val="yellow"/>
        </w:rPr>
        <w:t>all head-CT-assessable critical findings on the list (16 of its 40 entries, including hemorrhage, acute stroke, herniation, hydrocephalus, mass effect, edema, aneurysm, arteriovenous malformation, venous sinus thrombosis, vascular dissection and occlusion, skull fracture, pneumocephalus, abscess and foreign body); the remaining entries are spinal or soft-tissue findings outside the scope of a non-contrast head CT</w:t>
      </w:r>
      <w:r>
        <w:rPr>
          <w:rFonts w:ascii="Arial" w:cs="Arial" w:eastAsia="Arial" w:hAnsi="Arial"/>
          <w:sz w:val="22"/>
          <w:szCs w:val="22"/>
        </w:rPr>
        <w:t xml:space="preserve">.</w:t>
      </w:r>
    </w:p>
    <w:p>
      <w:pPr>
        <w:keepNext/>
        <w:spacing w:after="120"/>
      </w:pPr>
      <w:r>
        <w:rPr>
          <w:rFonts w:ascii="Arial" w:cs="Arial" w:eastAsia="Arial" w:hAnsi="Arial"/>
          <w:b/>
          <w:bCs/>
          <w:sz w:val="22"/>
          <w:szCs w:val="22"/>
        </w:rPr>
        <w:t xml:space="preserve">Model structure and readouts</w:t>
      </w:r>
    </w:p>
    <w:p>
      <w:pPr>
        <w:spacing w:after="200" w:line="276"/>
      </w:pPr>
      <w:r>
        <w:rPr>
          <w:rFonts w:ascii="Arial" w:cs="Arial" w:eastAsia="Arial" w:hAnsi="Arial"/>
          <w:sz w:val="22"/>
          <w:szCs w:val="22"/>
        </w:rPr>
        <w:t xml:space="preserve">We used the released NeuroVFM encoder, CT diagnostic classifier (mlinslab/neurovfm-dx-ct, an attention-pooled gated multilayer perceptron, 768→384→82, 952,264 parameters) and report model (mlinslab/neurovfm-llm) without modification. Both readouts received the same pooled diagnostic series for each study through the same preprocessor (1 × 1 × 4 mm resampling, with brain, blood and bone windows and no cap on series). Reports were generated with the released settings (beam search with four beams, no sampling, maximum 512 new tokens) and an empty clinical indication, matching the image-only input of the classifier. Each CQ500 finding was mapped before analysis to one or more of the 82 classifier labels, and the score for a finding was the maximum over its mapped labels (Supplementary Table 1).</w:t>
      </w:r>
    </w:p>
    <w:p>
      <w:pPr>
        <w:keepNext/>
        <w:spacing w:after="120"/>
      </w:pPr>
      <w:r>
        <w:rPr>
          <w:rFonts w:ascii="Arial" w:cs="Arial" w:eastAsia="Arial" w:hAnsi="Arial"/>
          <w:b/>
          <w:bCs/>
          <w:sz w:val="22"/>
          <w:szCs w:val="22"/>
        </w:rPr>
        <w:t xml:space="preserve">Screening and mention judgment</w:t>
      </w:r>
    </w:p>
    <w:p>
      <w:pPr>
        <w:spacing w:after="200" w:line="276"/>
      </w:pPr>
      <w:r>
        <w:rPr>
          <w:rFonts w:ascii="Arial" w:cs="Arial" w:eastAsia="Arial" w:hAnsi="Arial"/>
          <w:sz w:val="22"/>
          <w:szCs w:val="22"/>
        </w:rPr>
        <w:t xml:space="preserve">Generated reports were screened for acuity with GPT-5 (gpt-5-2025-08-07) using the authors’ critical-findings prompt</w:t>
      </w:r>
      <w:r>
        <w:rPr>
          <w:rFonts w:ascii="Arial" w:cs="Arial" w:eastAsia="Arial" w:hAnsi="Arial"/>
          <w:sz w:val="22"/>
          <w:szCs w:val="22"/>
          <w:vertAlign w:val="superscript"/>
        </w:rPr>
        <w:t xml:space="preserve">1</w:t>
      </w:r>
      <w:r>
        <w:rPr>
          <w:rFonts w:ascii="Arial" w:cs="Arial" w:eastAsia="Arial" w:hAnsi="Arial"/>
          <w:sz w:val="22"/>
          <w:szCs w:val="22"/>
        </w:rPr>
        <w:t xml:space="preserve">. GPT-5 also judged whether each reference finding was mentioned in each report. Claude (</w:t>
      </w:r>
      <w:r>
        <w:rPr>
          <w:rFonts w:ascii="Arial" w:cs="Arial" w:eastAsia="Arial" w:hAnsi="Arial"/>
          <w:sz w:val="22"/>
          <w:szCs w:val="22"/>
          <w:highlight w:val="yellow"/>
          <w:highlightCs w:val="yellow"/>
        </w:rPr>
        <w:t>Claude Sonnet 4.5 (claude-sonnet-4-5)</w:t>
      </w:r>
      <w:r>
        <w:rPr>
          <w:rFonts w:ascii="Arial" w:cs="Arial" w:eastAsia="Arial" w:hAnsi="Arial"/>
          <w:sz w:val="22"/>
          <w:szCs w:val="22"/>
        </w:rPr>
        <w:t xml:space="preserve">) served as a second screener and judge for sensitivity analyses. Mention judgments were compared between models (Cohen’s κ) and against a rule-based detector.</w:t>
      </w:r>
    </w:p>
    <w:p>
      <w:pPr>
        <w:keepNext/>
        <w:spacing w:after="120"/>
      </w:pPr>
      <w:r>
        <w:rPr>
          <w:rFonts w:ascii="Arial" w:cs="Arial" w:eastAsia="Arial" w:hAnsi="Arial"/>
          <w:b/>
          <w:bCs/>
          <w:sz w:val="22"/>
          <w:szCs w:val="22"/>
        </w:rPr>
        <w:t xml:space="preserve">Direct readout and matched threshold</w:t>
      </w:r>
    </w:p>
    <w:p>
      <w:pPr>
        <w:spacing w:after="200" w:line="276"/>
      </w:pPr>
      <w:r>
        <w:rPr>
          <w:rFonts w:ascii="Arial" w:cs="Arial" w:eastAsia="Arial" w:hAnsi="Arial"/>
          <w:sz w:val="22"/>
          <w:szCs w:val="22"/>
        </w:rPr>
        <w:t xml:space="preserve">In the direct readout, each study was scored by its maximum classifier score across the nine critical findings. The threshold was set so that the classifier flagged the same fraction of studies as the report pipeline. This uses only the distribution of scores and no labels, so the comparison carries no optimism from threshold tuning. The same threshold defined classifier detection in all subsequent analyses.</w:t>
      </w:r>
    </w:p>
    <w:p>
      <w:pPr>
        <w:keepNext/>
        <w:spacing w:after="120"/>
      </w:pPr>
      <w:r>
        <w:rPr>
          <w:rFonts w:ascii="Arial" w:cs="Arial" w:eastAsia="Arial" w:hAnsi="Arial"/>
          <w:b/>
          <w:bCs/>
          <w:sz w:val="22"/>
          <w:szCs w:val="22"/>
        </w:rPr>
        <w:t xml:space="preserve">Classification of misses</w:t>
      </w:r>
    </w:p>
    <w:p>
      <w:pPr>
        <w:spacing w:after="200" w:line="276"/>
      </w:pPr>
      <w:r>
        <w:t>Each urgent study was classified as detected or missed by each readout, giving a two-by-two table. A study missed by the report pipeline was a reasoning miss if its report named at least one of the study’s positive critical findings. Otherwise, it was a decoding miss if the classifier scored the highest-scoring positive finding above 0.5 while the report was silent on all of the study’s positive findings, and a perception miss if that score was 0.5 or below. Defining report silence across all positive findings, rather than a single responsible finding, is conservative because it avoids selecting the finding most favourable to a decoding classification. As a sensitivity analysis, we reclassified misses using the matched triage threshold in place of the 0.5 score, which gave 13 decoding, 37 perception and 5 reasoning misses (Extended Data Fig. 1). Every decoding-miss report was inspected for empty, truncated or errored output.</w:t>
      </w:r>
    </w:p>
    <w:p>
      <w:pPr>
        <w:keepNext/>
        <w:spacing w:after="120"/>
      </w:pPr>
      <w:r>
        <w:rPr>
          <w:rFonts w:ascii="Arial" w:cs="Arial" w:eastAsia="Arial" w:hAnsi="Arial"/>
          <w:b/>
          <w:bCs/>
          <w:sz w:val="22"/>
          <w:szCs w:val="22"/>
        </w:rPr>
        <w:t xml:space="preserve">Urgency definition</w:t>
      </w:r>
    </w:p>
    <w:p>
      <w:pPr>
        <w:spacing w:after="200" w:line="276"/>
      </w:pPr>
      <w:r>
        <w:rPr>
          <w:rFonts w:ascii="Arial" w:cs="Arial" w:eastAsia="Arial" w:hAnsi="Arial"/>
          <w:sz w:val="22"/>
          <w:szCs w:val="22"/>
        </w:rPr>
        <w:t xml:space="preserve">The authors’ screening rules exempt some findings from escalation</w:t>
      </w:r>
      <w:r>
        <w:rPr>
          <w:rFonts w:ascii="Arial" w:cs="Arial" w:eastAsia="Arial" w:hAnsi="Arial"/>
          <w:sz w:val="22"/>
          <w:szCs w:val="22"/>
          <w:vertAlign w:val="superscript"/>
        </w:rPr>
        <w:t xml:space="preserve">1</w:t>
      </w:r>
      <w:r>
        <w:rPr>
          <w:rFonts w:ascii="Arial" w:cs="Arial" w:eastAsia="Arial" w:hAnsi="Arial"/>
          <w:sz w:val="22"/>
          <w:szCs w:val="22"/>
        </w:rPr>
        <w:t xml:space="preserve">. CQ500 does not record lesion size, so we could not apply size-based exemptions. We therefore repeated all analyses after excluding studies whose only critical finding was a calvarial fracture, the finding most likely to be exempt when isolated.</w:t>
      </w:r>
    </w:p>
    <w:p>
      <w:pPr>
        <w:keepNext/>
        <w:spacing w:after="120"/>
      </w:pPr>
      <w:r>
        <w:rPr>
          <w:rFonts w:ascii="Arial" w:cs="Arial" w:eastAsia="Arial" w:hAnsi="Arial"/>
          <w:b/>
          <w:bCs/>
          <w:sz w:val="22"/>
          <w:szCs w:val="22"/>
        </w:rPr>
        <w:t xml:space="preserve">Indication ablation and determinism</w:t>
      </w:r>
    </w:p>
    <w:p>
      <w:pPr>
        <w:spacing w:after="200" w:line="276"/>
      </w:pPr>
      <w:r>
        <w:rPr>
          <w:rFonts w:ascii="Arial" w:cs="Arial" w:eastAsia="Arial" w:hAnsi="Arial"/>
          <w:sz w:val="22"/>
          <w:szCs w:val="22"/>
        </w:rPr>
        <w:t xml:space="preserve">Reports for all 472 studies were regenerated with the clinical indication “head trauma” and, separately, “headache”. Persistence of decoding misses under both indications would exclude absent indications as their cause. Resolution of many would indicate that the sensitivity of the report path depends on prompt context, whereas the classifier’s does not. Reports for all decoding misses were regenerated at the released batch size of one study per pass to test determinism (</w:t>
      </w:r>
      <w:r>
        <w:rPr>
          <w:rFonts w:ascii="Arial" w:cs="Arial" w:eastAsia="Arial" w:hAnsi="Arial"/>
          <w:sz w:val="22"/>
          <w:szCs w:val="22"/>
          <w:highlight w:val="yellow"/>
          <w:highlightCs w:val="yellow"/>
        </w:rPr>
        <w:t xml:space="preserve">{{DETERMINISM_RESULT}}</w:t>
      </w:r>
      <w:r>
        <w:rPr>
          <w:rFonts w:ascii="Arial" w:cs="Arial" w:eastAsia="Arial" w:hAnsi="Arial"/>
          <w:sz w:val="22"/>
          <w:szCs w:val="22"/>
        </w:rPr>
        <w:t xml:space="preserve">).</w:t>
      </w:r>
    </w:p>
    <w:p>
      <w:pPr>
        <w:keepNext/>
        <w:spacing w:after="120"/>
      </w:pPr>
      <w:r>
        <w:rPr>
          <w:rFonts w:ascii="Arial" w:cs="Arial" w:eastAsia="Arial" w:hAnsi="Arial"/>
          <w:b/>
          <w:bCs/>
          <w:sz w:val="22"/>
          <w:szCs w:val="22"/>
        </w:rPr>
        <w:t xml:space="preserve">Statistics</w:t>
      </w:r>
    </w:p>
    <w:p>
      <w:pPr>
        <w:spacing w:after="200" w:line="276"/>
      </w:pPr>
      <w:r>
        <w:rPr>
          <w:rFonts w:ascii="Arial" w:cs="Arial" w:eastAsia="Arial" w:hAnsi="Arial"/>
          <w:sz w:val="22"/>
          <w:szCs w:val="22"/>
        </w:rPr>
        <w:t xml:space="preserve">Confidence intervals were obtained from 2,000 bootstrap resamples of studies</w:t>
      </w:r>
      <w:r>
        <w:rPr>
          <w:rFonts w:ascii="Arial" w:cs="Arial" w:eastAsia="Arial" w:hAnsi="Arial"/>
          <w:sz w:val="22"/>
          <w:szCs w:val="22"/>
          <w:vertAlign w:val="superscript"/>
        </w:rPr>
        <w:t xml:space="preserve">9</w:t>
      </w:r>
      <w:r>
        <w:rPr>
          <w:rFonts w:ascii="Arial" w:cs="Arial" w:eastAsia="Arial" w:hAnsi="Arial"/>
          <w:sz w:val="22"/>
          <w:szCs w:val="22"/>
        </w:rPr>
        <w:t xml:space="preserve">, with the matched threshold re-selected within each resample. Calibration was summarized by expected calibration error over score deciles</w:t>
      </w:r>
      <w:r>
        <w:rPr>
          <w:rFonts w:ascii="Arial" w:cs="Arial" w:eastAsia="Arial" w:hAnsi="Arial"/>
          <w:sz w:val="22"/>
          <w:szCs w:val="22"/>
          <w:vertAlign w:val="superscript"/>
        </w:rPr>
        <w:t xml:space="preserve">7</w:t>
      </w:r>
      <w:r>
        <w:rPr>
          <w:rFonts w:ascii="Arial" w:cs="Arial" w:eastAsia="Arial" w:hAnsi="Arial"/>
          <w:sz w:val="22"/>
          <w:szCs w:val="22"/>
        </w:rPr>
        <w:t xml:space="preserve">. Analyses used </w:t>
      </w:r>
      <w:r>
        <w:rPr>
          <w:rFonts w:ascii="Arial" w:cs="Arial" w:eastAsia="Arial" w:hAnsi="Arial"/>
          <w:sz w:val="22"/>
          <w:szCs w:val="22"/>
          <w:highlight w:val="yellow"/>
          <w:highlightCs w:val="yellow"/>
        </w:rPr>
        <w:t>Python 3.10, PyTorch 2.5.0 (CUDA 12.4), FlashAttention 2.6.3, NumPy and SciPy</w:t>
      </w:r>
      <w:r>
        <w:rPr>
          <w:rFonts w:ascii="Arial" w:cs="Arial" w:eastAsia="Arial" w:hAnsi="Arial"/>
          <w:sz w:val="22"/>
          <w:szCs w:val="22"/>
        </w:rPr>
        <w:t xml:space="preserve">.</w:t>
      </w:r>
    </w:p>
    <w:p>
      <w:pPr>
        <w:keepNext/>
        <w:spacing w:after="120"/>
      </w:pPr>
      <w:r>
        <w:rPr>
          <w:rFonts w:ascii="Arial" w:cs="Arial" w:eastAsia="Arial" w:hAnsi="Arial"/>
          <w:b/>
          <w:bCs/>
          <w:sz w:val="22"/>
          <w:szCs w:val="22"/>
        </w:rPr>
        <w:t xml:space="preserve">Use of large language models</w:t>
      </w:r>
    </w:p>
    <w:p>
      <w:pPr>
        <w:spacing w:after="200" w:line="276"/>
      </w:pPr>
      <w:r>
        <w:rPr>
          <w:rFonts w:ascii="Arial" w:cs="Arial" w:eastAsia="Arial" w:hAnsi="Arial"/>
          <w:sz w:val="22"/>
          <w:szCs w:val="22"/>
        </w:rPr>
        <w:t xml:space="preserve">GPT-5 (OpenAI) and Claude (Anthropic) were used as screening models and mention judges as described above. Claude was also used to assist with code development, figure generation and manuscript editing. The authors reviewed and verified all output and take full responsibility for the work.</w:t>
      </w:r>
    </w:p>
    <w:p>
      <w:pPr>
        <w:keepNext/>
        <w:spacing w:after="120"/>
      </w:pPr>
      <w:r>
        <w:rPr>
          <w:rFonts w:ascii="Arial" w:cs="Arial" w:eastAsia="Arial" w:hAnsi="Arial"/>
          <w:b/>
          <w:bCs/>
          <w:sz w:val="22"/>
          <w:szCs w:val="22"/>
        </w:rPr>
        <w:t xml:space="preserve">Ethics</w:t>
      </w:r>
    </w:p>
    <w:p>
      <w:pPr>
        <w:spacing w:after="200" w:line="276"/>
      </w:pPr>
      <w:r>
        <w:rPr>
          <w:rFonts w:ascii="Arial" w:cs="Arial" w:eastAsia="Arial" w:hAnsi="Arial"/>
          <w:sz w:val="22"/>
          <w:szCs w:val="22"/>
        </w:rPr>
        <w:t xml:space="preserve">This study used only publicly available, de-identified data.</w:t>
      </w:r>
    </w:p>
    <w:p>
      <w:pPr>
        <w:keepNext/>
        <w:spacing w:after="120"/>
      </w:pPr>
      <w:r>
        <w:rPr>
          <w:rFonts w:ascii="Arial" w:cs="Arial" w:eastAsia="Arial" w:hAnsi="Arial"/>
          <w:b/>
          <w:bCs/>
          <w:sz w:val="22"/>
          <w:szCs w:val="22"/>
        </w:rPr>
        <w:t xml:space="preserve">Reporting summary</w:t>
      </w:r>
    </w:p>
    <w:p>
      <w:pPr>
        <w:spacing w:after="200" w:line="276"/>
      </w:pPr>
      <w:r>
        <w:rPr>
          <w:rFonts w:ascii="Arial" w:cs="Arial" w:eastAsia="Arial" w:hAnsi="Arial"/>
          <w:sz w:val="22"/>
          <w:szCs w:val="22"/>
        </w:rPr>
        <w:t xml:space="preserve">Further information on research design is available in the Nature Portfolio Reporting Summary linked to this article.</w:t>
      </w:r>
    </w:p>
    <w:p>
      <w:pPr>
        <w:keepNext/>
        <w:spacing w:after="120"/>
      </w:pPr>
      <w:r>
        <w:rPr>
          <w:rFonts w:ascii="Arial" w:cs="Arial" w:eastAsia="Arial" w:hAnsi="Arial"/>
          <w:b/>
          <w:bCs/>
          <w:sz w:val="22"/>
          <w:szCs w:val="22"/>
        </w:rPr>
        <w:t xml:space="preserve">Data availability</w:t>
      </w:r>
    </w:p>
    <w:p>
      <w:pPr>
        <w:spacing w:after="200" w:line="276"/>
      </w:pPr>
      <w:r>
        <w:rPr>
          <w:rFonts w:ascii="Arial" w:cs="Arial" w:eastAsia="Arial" w:hAnsi="Arial"/>
          <w:sz w:val="22"/>
          <w:szCs w:val="22"/>
        </w:rPr>
        <w:t xml:space="preserve">CQ500 is publicly available at http://headctstudy.qure.ai/dataset. Study-level classifier scores, generated reports, screening outputs and mention judgments underlying Fig. 1 and Extended Data Figs. 1–3 are provided as Source Data and at https://github.com/Jonah-Keller/neurovfm-matters-arising.</w:t>
      </w:r>
    </w:p>
    <w:p>
      <w:pPr>
        <w:keepNext/>
        <w:spacing w:after="120"/>
      </w:pPr>
      <w:r>
        <w:rPr>
          <w:rFonts w:ascii="Arial" w:cs="Arial" w:eastAsia="Arial" w:hAnsi="Arial"/>
          <w:b/>
          <w:bCs/>
          <w:sz w:val="22"/>
          <w:szCs w:val="22"/>
        </w:rPr>
        <w:t xml:space="preserve">Code availability</w:t>
      </w:r>
    </w:p>
    <w:p>
      <w:pPr>
        <w:spacing w:after="200" w:line="276"/>
      </w:pPr>
      <w:r>
        <w:rPr>
          <w:rFonts w:ascii="Arial" w:cs="Arial" w:eastAsia="Arial" w:hAnsi="Arial"/>
          <w:sz w:val="22"/>
          <w:szCs w:val="22"/>
        </w:rPr>
        <w:t xml:space="preserve">Code for inference, label mapping, classification of misses and statistical analysis is available at https://github.com/Jonah-Keller/neurovfm-matters-arising. The NeuroVFM code and weights are available from the original authors at https://github.com/MLNeurosurg/neurovfm.</w:t>
      </w:r>
    </w:p>
    <w:p>
      <w:pPr>
        <w:pageBreakBefore/>
      </w:pPr>
    </w:p>
    <w:p>
      <w:pPr>
        <w:spacing w:after="200" w:before="240"/>
      </w:pPr>
      <w:r>
        <w:rPr>
          <w:rFonts w:ascii="Arial" w:cs="Arial" w:eastAsia="Arial" w:hAnsi="Arial"/>
          <w:b/>
          <w:bCs/>
          <w:sz w:val="22"/>
          <w:szCs w:val="22"/>
          <w:u w:val="single"/>
        </w:rPr>
        <w:t xml:space="preserve">Acknowledgements</w:t>
      </w:r>
    </w:p>
    <w:p>
      <w:pPr>
        <w:spacing w:after="200" w:line="276"/>
      </w:pPr>
      <w:r>
        <w:rPr>
          <w:rFonts w:ascii="Arial" w:cs="Arial" w:eastAsia="Arial" w:hAnsi="Arial"/>
          <w:sz w:val="22"/>
          <w:szCs w:val="22"/>
        </w:rPr>
        <w:t xml:space="preserve">We thank the authors of ref. 1 for releasing the NeuroVFM code and weights, and the creators of CQ500 for making their data public. </w:t>
      </w:r>
      <w:r>
        <w:rPr>
          <w:rFonts w:ascii="Arial" w:cs="Arial" w:eastAsia="Arial" w:hAnsi="Arial"/>
          <w:sz w:val="22"/>
          <w:szCs w:val="22"/>
          <w:highlight w:val="yellow"/>
          <w:highlightCs w:val="yellow"/>
        </w:rPr>
      </w:r>
    </w:p>
    <w:p>
      <w:pPr>
        <w:spacing w:after="200" w:before="240"/>
      </w:pPr>
      <w:r>
        <w:rPr>
          <w:rFonts w:ascii="Arial" w:cs="Arial" w:eastAsia="Arial" w:hAnsi="Arial"/>
          <w:b/>
          <w:bCs/>
          <w:sz w:val="22"/>
          <w:szCs w:val="22"/>
          <w:u w:val="single"/>
        </w:rPr>
        <w:t xml:space="preserve">Author contributions</w:t>
      </w:r>
    </w:p>
    <w:p>
      <w:pPr>
        <w:spacing w:after="200" w:line="276"/>
      </w:pPr>
      <w:r>
        <w:rPr>
          <w:rFonts w:ascii="Arial" w:cs="Arial" w:eastAsia="Arial" w:hAnsi="Arial"/>
          <w:sz w:val="22"/>
          <w:szCs w:val="22"/>
        </w:rPr>
        <w:t xml:space="preserve">J.N.K. and V.M.S. conceived the study. J.N.K. performed the analyses and drafted the manuscript. V.M.S. supervised the work. Both authors revised and approved the final manuscript.</w:t>
      </w:r>
    </w:p>
    <w:p>
      <w:pPr>
        <w:spacing w:after="200" w:before="240"/>
      </w:pPr>
      <w:r>
        <w:rPr>
          <w:rFonts w:ascii="Arial" w:cs="Arial" w:eastAsia="Arial" w:hAnsi="Arial"/>
          <w:b/>
          <w:bCs/>
          <w:sz w:val="22"/>
          <w:szCs w:val="22"/>
          <w:u w:val="single"/>
        </w:rPr>
        <w:t xml:space="preserve">Competing interests</w:t>
      </w:r>
    </w:p>
    <w:p>
      <w:pPr>
        <w:spacing w:after="200" w:line="276"/>
      </w:pPr>
      <w:r>
        <w:rPr>
          <w:rFonts w:ascii="Arial" w:cs="Arial" w:eastAsia="Arial" w:hAnsi="Arial"/>
          <w:sz w:val="22"/>
          <w:szCs w:val="22"/>
        </w:rPr>
        <w:t xml:space="preserve">The authors declare no competing interests.</w:t>
      </w:r>
    </w:p>
    <w:sectPr>
      <w:pgSz w:w="12240" w:h="15840" w:orient="portrait"/>
      <w:pgMar w:top="720" w:right="720" w:bottom="806" w:left="979" w:header="360" w:footer="144"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2026-10-01T19:07:21.519Z</dcterms:created>
  <dcterms:modified xsi:type="dcterms:W3CDTF">2026-10-01T19:07:21.527Z</dcterms:modified>
</cp:coreProperties>
</file>

<file path=docProps/custom.xml><?xml version="1.0" encoding="utf-8"?>
<Properties xmlns="http://schemas.openxmlformats.org/officeDocument/2006/custom-properties" xmlns:vt="http://schemas.openxmlformats.org/officeDocument/2006/docPropsVTypes"/>
</file>