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Agreement between the two readouts on the 206 urgent studies at the matched flag rate: caught by both (134), by the classifier only (17), by the report only (17) or by neither (38). d, Classifier score on the missed finding for each of the 55 urgent studies the report pipeline missed. Dotted line, 0.5 (the primary decoding threshold); solid line, the matched triage threshold (0.98). Filled blue markers, decoding misses, in which the classifier scored the missed finding above 0.5 while the report named none of the study’s critical findings (n = 40). Grey markers, perception misses, in which that score was 0.5 or below (n = 10). Open markers, reasoning misses, in which the report named a critical finding that GPT-5 did not escalate (n = 5). Confidence intervals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