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rPr>
          <w:rFonts w:ascii="Arial" w:cs="Arial" w:eastAsia="Arial" w:hAnsi="Arial"/>
          <w:sz w:val="22"/>
          <w:szCs w:val="22"/>
        </w:rPr>
        <w:t xml:space="preserve">Read directly, the classifier separated urgent from non-urgent studies with an area under the receiver operating characteristic curve of 0.949 (95% CI 0.928–0.967; Fig. 1b). The report pipeline flagged 34.1% of studies and detected 73.3% of urgent studies. At the same flag rate, the classifier detected the same fraction (difference 0.000, 95% CI −0.029 to 0.030). Equal sensitivity did not mean identical errors. Of the 206 urgent studies, </w:t>
      </w:r>
      <w:r>
        <w:rPr>
          <w:rFonts w:ascii="Arial" w:cs="Arial" w:eastAsia="Arial" w:hAnsi="Arial"/>
          <w:sz w:val="22"/>
          <w:szCs w:val="22"/>
          <w:highlight w:val="yellow"/>
          <w:highlightCs w:val="yellow"/>
        </w:rPr>
        <w:t>134</w:t>
      </w:r>
      <w:r>
        <w:rPr>
          <w:rFonts w:ascii="Arial" w:cs="Arial" w:eastAsia="Arial" w:hAnsi="Arial"/>
          <w:sz w:val="22"/>
          <w:szCs w:val="22"/>
        </w:rPr>
        <w:t xml:space="preserve"> were caught by both readouts and </w:t>
      </w:r>
      <w:r>
        <w:rPr>
          <w:rFonts w:ascii="Arial" w:cs="Arial" w:eastAsia="Arial" w:hAnsi="Arial"/>
          <w:sz w:val="22"/>
          <w:szCs w:val="22"/>
          <w:highlight w:val="yellow"/>
          <w:highlightCs w:val="yellow"/>
        </w:rPr>
        <w:t>38</w:t>
      </w:r>
      <w:r>
        <w:rPr>
          <w:rFonts w:ascii="Arial" w:cs="Arial" w:eastAsia="Arial" w:hAnsi="Arial"/>
          <w:sz w:val="22"/>
          <w:szCs w:val="22"/>
        </w:rPr>
        <w:t xml:space="preserve"> by neither, while </w:t>
      </w:r>
      <w:r>
        <w:rPr>
          <w:rFonts w:ascii="Arial" w:cs="Arial" w:eastAsia="Arial" w:hAnsi="Arial"/>
          <w:sz w:val="22"/>
          <w:szCs w:val="22"/>
          <w:highlight w:val="yellow"/>
          <w:highlightCs w:val="yellow"/>
        </w:rPr>
        <w:t>17</w:t>
      </w:r>
      <w:r>
        <w:rPr>
          <w:rFonts w:ascii="Arial" w:cs="Arial" w:eastAsia="Arial" w:hAnsi="Arial"/>
          <w:sz w:val="22"/>
          <w:szCs w:val="22"/>
        </w:rPr>
        <w:t xml:space="preserve"> were caught only by the classifier and </w:t>
      </w:r>
      <w:r>
        <w:rPr>
          <w:rFonts w:ascii="Arial" w:cs="Arial" w:eastAsia="Arial" w:hAnsi="Arial"/>
          <w:sz w:val="22"/>
          <w:szCs w:val="22"/>
          <w:highlight w:val="yellow"/>
          <w:highlightCs w:val="yellow"/>
        </w:rPr>
        <w:t>17</w:t>
      </w:r>
      <w:r>
        <w:rPr>
          <w:rFonts w:ascii="Arial" w:cs="Arial" w:eastAsia="Arial" w:hAnsi="Arial"/>
          <w:sz w:val="22"/>
          <w:szCs w:val="22"/>
        </w:rPr>
        <w:t xml:space="preserve"> only by the report (Fig. 1c). We do not claim that the classifier is superior. The two readouts share an encoder yet made different errors, so the misses of the report pipeline cannot be read as misses of the encoder.</w:t>
      </w:r>
    </w:p>
    <w:p>
      <w:pPr>
        <w:spacing w:after="200" w:line="276"/>
      </w:pPr>
      <w:r>
        <w:t>The misses of the report pipeline show where information was lost. Of the 55 urgent studies it missed, 5 had a report that named a critical finding that GPT-5 did not escalate. Of the remainder, in 40 the classifier scored the missed finding above 0.5 (median 0.92) while the report named none of the study’s critical findings, and in 10 the classifier also scored the finding at or below 0.5.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 xml:space="preserve">{{THEIR_ED9D_INDICATION_EFFECT}}</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Agreement between the two readouts on the 206 urgent studies at the matched flag rate: caught by both (134), by the classifier only (17), by the report only (17) or by neither (38). d, Classifier score on the missed finding for each of the 55 urgent studies the report pipeline missed. Dotted line, 0.5 (the primary decoding threshold); solid line, the matched triage threshold (0.98). Filled blue markers, decoding misses, in which the classifier scored the missed finding above 0.5 while the report named none of the study’s critical findings (n = 40). Grey markers, perception misses, in which that score was 0.5 or below (n = 10). Open markers, reasoning misses, in which the report named a critical finding that GPT-5 did not escalate (n = 5). Confidence intervals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nine of the critical findings analysed here; of a broader neuroradiology critical-findings list (ref. 6), cerebral venous sinus thrombosis was the only commonly listed urgent finding without a corresponding NeuroVFM label</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