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
      </w:pPr>
      <w:r>
        <w:rPr>
          <w:rFonts w:ascii="Arial" w:cs="Arial" w:eastAsia="Arial" w:hAnsi="Arial"/>
          <w:b/>
          <w:bCs/>
          <w:sz w:val="22"/>
          <w:szCs w:val="22"/>
          <w:u w:val="single"/>
        </w:rPr>
        <w:t xml:space="preserve">Figures</w:t>
      </w: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Figure 1 here]</w:t>
      </w:r>
    </w:p>
    <w:p>
      <w:pPr>
        <w:spacing w:after="200" w:line="276"/>
      </w:pPr>
      <w:r>
        <w:rPr>
          <w:b/>
        </w:rPr>
        <w:t xml:space="preserve">Fig. 1. </w:t>
      </w:r>
      <w:r>
        <w:t>NeuroVFM’s diagnostic classifier detects most urgent findings that its written reports omit, so report-based evaluation does not isolate perception. a, The released NeuroVFM system and the change we evaluated. One frozen encoder feeds two readouts that do not share information. In the original study, perception and triage were evaluated through the report path, in which a 14-billion-parameter language model writes findings that GPT-5 reads to assign acuity (orange). We also read the diagnostic classifier (about 0.95 million parameters) directly (blue). Shown for one CQ500 study with subarachnoid hemorrhage: the classifier scored the finding at 0.99 and flagged the study, whereas the generated report read “Study is unremarkable.” and the study was not escalated. b, Sensitivity for urgent studies versus fraction of studies flagged (n = 472, 206 urgent). Blue curve and band, the classifier’s highest score across the nine critical findings used directly as a triage score, with 95% CI (AUROC 0.949, 95% CI 0.928–0.967). Orange point, the report pipeline (sensitivity 0.733 at a flag rate of 0.341). Blue point, the classifier at the same flag rate, a threshold chosen without labels; the difference in sensitivity was 0.000 (95% CI −0.029 to 0.030). c, Classifier score on the missed finding for the 40 decoding misses — urgent studies the report pipeline missed in which the classifier scored the finding above 0.5 while the report named none of the study’s critical findings. Dotted line, 0.5; the median score was 0.92, and in 38 of the 40 the report named none of the nine critical findings. Confidence intervals in b are from 2,000 study-level bootstrap resamples.</w:t>
      </w:r>
    </w:p>
    <w:p>
      <w:pPr>
        <w:pageBreakBefore/>
      </w:pP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Extended Data Figure 1 here]</w:t>
      </w:r>
    </w:p>
    <w:p>
      <w:pPr>
        <w:spacing w:after="200" w:line="276"/>
      </w:pPr>
      <w:r>
        <w:rPr>
          <w:b/>
        </w:rPr>
        <w:t xml:space="preserve">Extended Data Fig. 1. </w:t>
      </w:r>
      <w:r>
        <w:t>Decomposition of report-pipeline misses under alternative definitions and screening models. a, Decomposition of the 55 misses under the primary definition (classifier score above 0.5 on the highest-scoring positive finding, report silent on all positive findings: 40 decoding, 10 perception, 5 reasoning) and under the sensitivity definition (classifier flag at the matched triage threshold: 13 decoding, 37 perception, 5 reasoning). b, The same decomposition with Claude as the screening model (34 decoding, 10 perception, 4 reasoning of 48 misses under the primary definition; 11 decoding, 33 perception, 4 reasoning under the sensitivity definition). Acuity agreement between the two screeners was 96.6%. c, Decoding misses by critical finding (calvarial fracture 9, intraparenchymal hemorrhage 8, intracranial hemorrhage 8, subdural hematoma 5, mass effect 5, subarachnoid hemorrhage 3, epidural hematoma 2). d, Fraction of generated reports reading as normal among urgent (23%) and non-urgent (96%) studies. e, Agreement on whether each reference finding was mentioned, between GPT-5 and Claude as judges (mean κ 0.97) and between each judge and a rule-based detector (κ 0.92 or higher for hemorrhage findings).</w:t>
      </w:r>
    </w:p>
    <w:p>
      <w:pPr>
        <w:pageBreakBefore/>
      </w:pP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Extended Data Figure 2 here]</w:t>
      </w:r>
    </w:p>
    <w:p>
      <w:pPr>
        <w:spacing w:after="200" w:line="276"/>
      </w:pPr>
      <w:r>
        <w:rPr>
          <w:rFonts w:ascii="Arial" w:cs="Arial" w:eastAsia="Arial" w:hAnsi="Arial"/>
          <w:b/>
          <w:bCs/>
          <w:sz w:val="22"/>
          <w:szCs w:val="22"/>
        </w:rPr>
        <w:t xml:space="preserve">Extended Data Fig. 2. Clinical indication, urgency definition, calibration and prevalence.</w:t>
      </w:r>
      <w:r>
        <w:rPr>
          <w:rFonts w:ascii="Arial" w:cs="Arial" w:eastAsia="Arial" w:hAnsi="Arial"/>
          <w:sz w:val="22"/>
          <w:szCs w:val="22"/>
        </w:rPr>
        <w:t xml:space="preserve"> </w:t>
      </w:r>
      <w:r>
        <w:rPr>
          <w:rFonts w:ascii="Arial" w:cs="Arial" w:eastAsia="Arial" w:hAnsi="Arial"/>
          <w:b/>
          <w:bCs/>
          <w:sz w:val="22"/>
          <w:szCs w:val="22"/>
        </w:rPr>
        <w:t xml:space="preserve">a</w:t>
      </w:r>
      <w:r>
        <w:rPr>
          <w:rFonts w:ascii="Arial" w:cs="Arial" w:eastAsia="Arial" w:hAnsi="Arial"/>
          <w:sz w:val="22"/>
          <w:szCs w:val="22"/>
        </w:rPr>
        <w:t xml:space="preserve">, Decomposition of misses with no clinical indication (as in the main analysis), with the indication “head trauma” and with the indication “headache” (</w:t>
      </w:r>
      <w:r>
        <w:rPr>
          <w:rFonts w:ascii="Arial" w:cs="Arial" w:eastAsia="Arial" w:hAnsi="Arial"/>
          <w:sz w:val="22"/>
          <w:szCs w:val="22"/>
          <w:highlight w:val="yellow"/>
          <w:highlightCs w:val="yellow"/>
        </w:rPr>
        <w:t xml:space="preserve">{{ED2_ABLATION_SUMMARY}}</w:t>
      </w:r>
      <w:r>
        <w:rPr>
          <w:rFonts w:ascii="Arial" w:cs="Arial" w:eastAsia="Arial" w:hAnsi="Arial"/>
          <w:sz w:val="22"/>
          <w:szCs w:val="22"/>
        </w:rPr>
        <w:t xml:space="preserve">). </w:t>
      </w:r>
      <w:r>
        <w:rPr>
          <w:rFonts w:ascii="Arial" w:cs="Arial" w:eastAsia="Arial" w:hAnsi="Arial"/>
          <w:b/>
          <w:bCs/>
          <w:sz w:val="22"/>
          <w:szCs w:val="22"/>
        </w:rPr>
        <w:t xml:space="preserve">b</w:t>
      </w:r>
      <w:r>
        <w:rPr>
          <w:rFonts w:ascii="Arial" w:cs="Arial" w:eastAsia="Arial" w:hAnsi="Arial"/>
          <w:sz w:val="22"/>
          <w:szCs w:val="22"/>
        </w:rPr>
        <w:t xml:space="preserve">, Sensitivity at the matched flag rate and decomposition of misses after excluding studies whose only critical finding was a calvarial fracture (</w:t>
      </w:r>
      <w:r>
        <w:rPr>
          <w:rFonts w:ascii="Arial" w:cs="Arial" w:eastAsia="Arial" w:hAnsi="Arial"/>
          <w:sz w:val="22"/>
          <w:szCs w:val="22"/>
          <w:highlight w:val="yellow"/>
          <w:highlightCs w:val="yellow"/>
        </w:rPr>
        <w:t>After excluding the four studies whose only critical finding was calvarial fracture (n = 468, 202 urgent), the sensitivity difference remained 0.000 (95% CI −0.030 to 0.030; AUROC 0.948) and the 51 misses decomposed as 37 decoding, 9 perception and 5 reasoning under the primary definition</w:t>
      </w:r>
      <w:r>
        <w:rPr>
          <w:rFonts w:ascii="Arial" w:cs="Arial" w:eastAsia="Arial" w:hAnsi="Arial"/>
          <w:sz w:val="22"/>
          <w:szCs w:val="22"/>
        </w:rPr>
        <w:t xml:space="preserve">). </w:t>
      </w:r>
      <w:r>
        <w:rPr>
          <w:rFonts w:ascii="Arial" w:cs="Arial" w:eastAsia="Arial" w:hAnsi="Arial"/>
          <w:b/>
          <w:bCs/>
          <w:sz w:val="22"/>
          <w:szCs w:val="22"/>
        </w:rPr>
        <w:t xml:space="preserve">c</w:t>
      </w:r>
      <w:r>
        <w:rPr>
          <w:rFonts w:ascii="Arial" w:cs="Arial" w:eastAsia="Arial" w:hAnsi="Arial"/>
          <w:sz w:val="22"/>
          <w:szCs w:val="22"/>
        </w:rPr>
        <w:t xml:space="preserve">, Reliability diagram for classifier scores pooled over the nine critical findings (expected calibration error 0.25). The classifier discriminates well on external data but is not calibrated to it, so we describe its outputs as scores rather than probabilities. </w:t>
      </w:r>
      <w:r>
        <w:rPr>
          <w:rFonts w:ascii="Arial" w:cs="Arial" w:eastAsia="Arial" w:hAnsi="Arial"/>
          <w:b/>
          <w:bCs/>
          <w:sz w:val="22"/>
          <w:szCs w:val="22"/>
        </w:rPr>
        <w:t xml:space="preserve">d</w:t>
      </w:r>
      <w:r>
        <w:rPr>
          <w:rFonts w:ascii="Arial" w:cs="Arial" w:eastAsia="Arial" w:hAnsi="Arial"/>
          <w:sz w:val="22"/>
          <w:szCs w:val="22"/>
        </w:rPr>
        <w:t xml:space="preserve">, Sensitivity versus fraction flagged with the flag-rate axis reweighted to the 13% urgent prevalence of the original prospective study.</w:t>
      </w:r>
    </w:p>
    <w:p>
      <w:pPr>
        <w:pageBreakBefore/>
      </w:pP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Extended Data Figure 3 here]</w:t>
      </w:r>
    </w:p>
    <w:p>
      <w:pPr>
        <w:spacing w:after="200" w:line="276"/>
      </w:pPr>
      <w:r>
        <w:rPr>
          <w:rFonts w:ascii="Arial" w:cs="Arial" w:eastAsia="Arial" w:hAnsi="Arial"/>
          <w:b/>
          <w:bCs/>
          <w:sz w:val="22"/>
          <w:szCs w:val="22"/>
        </w:rPr>
        <w:t xml:space="preserve">Extended Data Fig. 3. Representative decoding misses.</w:t>
      </w:r>
      <w:r>
        <w:rPr>
          <w:rFonts w:ascii="Arial" w:cs="Arial" w:eastAsia="Arial" w:hAnsi="Arial"/>
          <w:sz w:val="22"/>
          <w:szCs w:val="22"/>
        </w:rPr>
        <w:t xml:space="preserve"> </w:t>
      </w:r>
      <w:r>
        <w:rPr>
          <w:rFonts w:ascii="Arial" w:cs="Arial" w:eastAsia="Arial" w:hAnsi="Arial"/>
          <w:sz w:val="22"/>
          <w:szCs w:val="22"/>
          <w:highlight w:val="yellow"/>
          <w:highlightCs w:val="yellow"/>
        </w:rPr>
        <w:t>Six</w:t>
      </w:r>
      <w:r>
        <w:rPr>
          <w:rFonts w:ascii="Arial" w:cs="Arial" w:eastAsia="Arial" w:hAnsi="Arial"/>
          <w:sz w:val="22"/>
          <w:szCs w:val="22"/>
        </w:rPr>
        <w:t xml:space="preserve"> CQ500 studies in which the generated report omitted an urgent finding. For each, a key axial slice, the classifier’s scores for the nine critical findings and the generated report verbatim. </w:t>
      </w:r>
      <w:r>
        <w:rPr>
          <w:rFonts w:ascii="Arial" w:cs="Arial" w:eastAsia="Arial" w:hAnsi="Arial"/>
          <w:sz w:val="22"/>
          <w:szCs w:val="22"/>
          <w:highlight w:val="yellow"/>
          <w:highlightCs w:val="yellow"/>
        </w:rPr>
        <w:t>The examples span subarachnoid hemorrhage, intraparenchymal hemorrhage, subdural hematoma, intracranial hemorrhage, calvarial fracture and mass effect; in each the classifier scored the finding above 0.96 while the report read as normal.</w:t>
      </w:r>
    </w:p>
    <w:sectPr>
      <w:pgSz w:w="12240" w:h="15840" w:orient="portrait"/>
      <w:pgMar w:top="720" w:right="720" w:bottom="806" w:left="979" w:header="360" w:footer="14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2026-10-01T19:07:21.696Z</dcterms:created>
  <dcterms:modified xsi:type="dcterms:W3CDTF">2026-10-01T19:07:21.696Z</dcterms:modified>
</cp:coreProperties>
</file>

<file path=docProps/custom.xml><?xml version="1.0" encoding="utf-8"?>
<Properties xmlns="http://schemas.openxmlformats.org/officeDocument/2006/custom-properties" xmlns:vt="http://schemas.openxmlformats.org/officeDocument/2006/docPropsVTypes"/>
</file>