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in 40 the classifier had already scored the missed finding above 0.5 (median 0.92) while the report named none of the study’s critical findings (Fig. 1c).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A normal-reading report is more consequential than a missing flag, because it reassures and moves a scan down the worklist. Under the original evaluation these studies would count as failures of perception, although the encoder had represented the finding. The remaining 15 misses are decomposed in Extended Data Fig. 1.</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Of the 55 urgent studies the report pipeline missed, in 40 (blue) the classifier had already scored the missed finding above 0.5 while the report named none of the study’s critical findings; lines connect this group to their classifier scores below (dotted line, 0.5; median 0.92). In 38 of the 40 the report named none of the nine critical findings. The full decomposition of the 55 misses is in Extended Data Fig. 1.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