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The report pipeline missed 55 urgent studies. In 40 of them the report was silent on every critical finding yet the classifier had already scored the study’s finding above 0.5; each point is that classifier score (dotted line, 0.5; tick, median 0.92). The remaining 15 misses — 10 in which the classifier score was also 0.5 or below, and 5 in which the report named a finding that was not escalated to urgent — are shown in Extended Data Fig. 1. Confidence intervals in b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no indication, 40 decoding, 10 perception and 5 reasoning of 55 misses; head trauma, 40 decoding, 10 perception and 6 reasoning of 56; headache, 47 decoding, 11 perception and 5 reasoning of 63; 38 of the 40 decoding misses in the main analysis persisted under each indication</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