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t>Read directly, the classifier separated urgent from non-urgent studies with an area under the receiver operating characteristic curve of 0.949 (95% CI 0.928–0.967; Fig. 1b). At the report pipeline's flag rate, the two readouts detected the same fraction of urgent studies (73.3% each; difference 0.000, 95% CI −0.029 to 0.030) — equivalent sensitivity, which we note is not a claim that the classifier is the better triager. They did not, however, make the same errors: 17 urgent studies were caught only by the classifier and 17 only by the report pipeline, so each readout missed studies the other caught, and generation adds value for some findings. Because the two readouts share one encoder yet err differently, the misses of the report pipeline cannot be read as failures of the encoder, which we examine next.</w:t>
      </w:r>
    </w:p>
    <w:p>
      <w:pPr>
        <w:spacing w:after="200" w:line="276"/>
      </w:pPr>
      <w:r>
        <w:t>The misses of the report pipeline show where information was lost. Of the 55 urgent studies it missed, in 40 the classifier had already scored the missed finding above 0.5 (median 0.92) while the report named none of the study’s critical findings (Fig. 1c).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A normal-reading report is more consequential than a missing flag, because it reassures and moves a scan down the worklist. Under the original evaluation these studies would count as failures of perception, although the encoder had represented the finding. The remaining 15 misses are decomposed in Extended Data Fig. 1.</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a small reduction in NeuroVFM’s three-tier acuity accuracy (approximately 0.80 to 0.76)</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 xml:space="preserve">{{ABLATION_RESULT}}</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The report pipeline missed 55 urgent studies. In 40 of them the report was silent on every critical finding yet the classifier had already scored the study’s finding above 0.5; each point is that classifier score (dotted line, 0.5; tick, median 0.92). The remaining 15 misses — 10 in which the classifier score was also 0.5 or below, and 5 in which the report named a finding that was not escalated to urgent — are shown in Extended Data Fig. 1. Confidence intervals in b are from 2,000 study-level bootstrap resamples.</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all head-CT-assessable critical findings on the list (16 of its 40 entries, including hemorrhage, acute stroke, herniation, hydrocephalus, mass effect, edema, aneurysm, arteriovenous malformation, venous sinus thrombosis, vascular dissection and occlusion, skull fracture, pneumocephalus, abscess and foreign body); the remaining entries are spinal or soft-tissue findings outside the scope of a non-contrast head CT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Claude Sonnet 4.5 (claude-sonnet-4-5)</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t>Each urgent study was classified as detected or missed by each readout, giving a two-by-two table. A study missed by the report pipeline was a reasoning miss if its report named at least one of the study’s positive critical findings. Otherwise, it was a decoding miss if the classifier scored the highest-scoring positive finding above 0.5 while the report was silent on all of the study’s positive findings, and a perception miss if that score was 0.5 or below. Defining report silence across all positive findings, rather than a single responsible finding, is conservative because it avoids selecting the finding most favourable to a decoding classification. As a sensitivity analysis, we reclassified misses using the matched triage threshold in place of the 0.5 score, which gave 13 decoding, 37 perception and 5 reasoning misses (Extended Data Fig. 1).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 xml:space="preserve">{{DETERMINISM_RESULT}}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