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The report pipeline missed 55 urgent studies. In 40 of them the report was silent on every critical finding yet the classifier had already scored the study’s finding above 0.5; each point is that classifier score (dotted line, 0.5; tick, median 0.92). The remaining 15 misses — 10 in which the classifier score was also 0.5 or below, and 5 in which the report named a finding that was not escalated to urgent — are shown in Extended Data Fig. 1.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