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t>Read directly, the classifier separated urgent from non-urgent studies with an area under the receiver operating characteristic curve of 0.949 (95% CI 0.928–0.967; Fig. 1b). At the report pipeline's flag rate, the two readouts detected the same fraction of urgent studies (73.3% each; difference 0.000, 95% CI −0.029 to 0.030) — equivalent sensitivity, which we note is not a claim that the classifier is the better triager. They did not, however, make the same errors: 17 urgent studies were caught only by the classifier and 17 only by the report pipeline, so each readout missed studies the other caught, and generation adds value for some findings. Because the two readouts share one encoder yet err differently, the misses of the report pipeline cannot be read as failures of the encoder, which we examine next.</w:t>
      </w:r>
    </w:p>
    <w:p>
      <w:pPr>
        <w:spacing w:after="200" w:line="276"/>
      </w:pPr>
      <w:r>
        <w:t>The misses of the report pipeline show where information was lost. Of the 55 urgent studies it missed, 5 had a report that named a critical finding that GPT-5 did not escalate. Of the remainder, in 40 the classifier scored the missed finding above 0.5 (median 0.92) while the report named none of the study’s critical findings (Fig. 1c), and in 10 the classifier also scored the finding at or below 0.5.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(Extended Data Fig. 1). A normal-reading report is more consequential than a missing flag, because it reassures and moves a scan down the worklist. Under the original evaluation these studies would count as failures of perception, although the encoder had represented the finding.</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Decomposition of the 55 urgent studies the report pipeline missed. Of these, 40 are decoding misses, in which the classifier scored the missed finding above 0.5 while the report named none of the study’s critical findings; 10 are perception misses, missed by both readouts; and 5 are reasoning misses, in which the report named a critical finding that GPT-5 did not escalate. Below, the classifier’s score on the missed finding for the 40 decoding misses (dotted line, 0.5; median 0.92); in 38 of the 40 the report named none of the nine critical findings.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