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B62CB05" w14:textId="77777777" w:rsidR="005C02D7" w:rsidRDefault="00932F6C">
      <w:pPr>
        <w:pStyle w:val="Heading1"/>
        <w:spacing w:before="4" w:line="439" w:lineRule="exact"/>
      </w:pPr>
      <w:bookmarkStart w:id="0" w:name="_GoBack"/>
      <w:bookmarkEnd w:id="0"/>
      <w:r>
        <w:rPr>
          <w:noProof/>
          <w:lang w:bidi="ar-SA"/>
        </w:rPr>
        <w:drawing>
          <wp:anchor distT="0" distB="0" distL="0" distR="0" simplePos="0" relativeHeight="251655680" behindDoc="0" locked="0" layoutInCell="1" allowOverlap="1" wp14:anchorId="2B62CB73" wp14:editId="7A94DB5A">
            <wp:simplePos x="0" y="0"/>
            <wp:positionH relativeFrom="page">
              <wp:posOffset>525780</wp:posOffset>
            </wp:positionH>
            <wp:positionV relativeFrom="paragraph">
              <wp:posOffset>2269</wp:posOffset>
            </wp:positionV>
            <wp:extent cx="2924426" cy="1106168"/>
            <wp:effectExtent l="0" t="0" r="0" b="0"/>
            <wp:wrapNone/>
            <wp:docPr id="1" name="image1.jpeg" descr="California Community Colleges logo" title="California Community Colle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2924426" cy="1106168"/>
                    </a:xfrm>
                    <a:prstGeom prst="rect">
                      <a:avLst/>
                    </a:prstGeom>
                  </pic:spPr>
                </pic:pic>
              </a:graphicData>
            </a:graphic>
          </wp:anchor>
        </w:drawing>
      </w:r>
      <w:r>
        <w:rPr>
          <w:color w:val="44546A"/>
        </w:rPr>
        <w:t>Non-Technical</w:t>
      </w:r>
    </w:p>
    <w:p w14:paraId="2B62CB06" w14:textId="77777777" w:rsidR="005C02D7" w:rsidRDefault="00932F6C">
      <w:pPr>
        <w:ind w:left="5623"/>
        <w:rPr>
          <w:sz w:val="36"/>
        </w:rPr>
      </w:pPr>
      <w:r>
        <w:rPr>
          <w:color w:val="44546A"/>
          <w:spacing w:val="-9"/>
          <w:sz w:val="36"/>
        </w:rPr>
        <w:t xml:space="preserve">Student </w:t>
      </w:r>
      <w:r>
        <w:rPr>
          <w:color w:val="44546A"/>
          <w:spacing w:val="-11"/>
          <w:sz w:val="36"/>
        </w:rPr>
        <w:t xml:space="preserve">Centered </w:t>
      </w:r>
      <w:r>
        <w:rPr>
          <w:color w:val="44546A"/>
          <w:spacing w:val="-9"/>
          <w:sz w:val="36"/>
        </w:rPr>
        <w:t xml:space="preserve">Funding </w:t>
      </w:r>
      <w:r>
        <w:rPr>
          <w:color w:val="44546A"/>
          <w:spacing w:val="-10"/>
          <w:sz w:val="36"/>
        </w:rPr>
        <w:t xml:space="preserve">Formula Frequently </w:t>
      </w:r>
      <w:r>
        <w:rPr>
          <w:color w:val="44546A"/>
          <w:spacing w:val="-11"/>
          <w:sz w:val="36"/>
        </w:rPr>
        <w:t>Asked Questions</w:t>
      </w:r>
    </w:p>
    <w:p w14:paraId="2B62CB07" w14:textId="77777777" w:rsidR="005C02D7" w:rsidRDefault="00932F6C">
      <w:pPr>
        <w:spacing w:before="1"/>
        <w:ind w:left="5588" w:right="3661"/>
        <w:jc w:val="center"/>
        <w:rPr>
          <w:sz w:val="20"/>
        </w:rPr>
      </w:pPr>
      <w:r>
        <w:rPr>
          <w:color w:val="44546A"/>
          <w:sz w:val="20"/>
        </w:rPr>
        <w:t>As of August 17, 2018</w:t>
      </w:r>
    </w:p>
    <w:p w14:paraId="2B62CB08" w14:textId="77777777" w:rsidR="005C02D7" w:rsidRDefault="005C02D7">
      <w:pPr>
        <w:pStyle w:val="BodyText"/>
        <w:ind w:left="0"/>
        <w:rPr>
          <w:sz w:val="20"/>
        </w:rPr>
      </w:pPr>
    </w:p>
    <w:p w14:paraId="2B62CB09" w14:textId="77777777" w:rsidR="005C02D7" w:rsidRDefault="005C02D7">
      <w:pPr>
        <w:pStyle w:val="BodyText"/>
        <w:ind w:left="0"/>
        <w:rPr>
          <w:sz w:val="20"/>
        </w:rPr>
      </w:pPr>
    </w:p>
    <w:p w14:paraId="2B62CB0A" w14:textId="77777777" w:rsidR="005C02D7" w:rsidRDefault="005C02D7">
      <w:pPr>
        <w:pStyle w:val="BodyText"/>
        <w:ind w:left="0"/>
        <w:rPr>
          <w:sz w:val="20"/>
        </w:rPr>
      </w:pPr>
    </w:p>
    <w:p w14:paraId="2B62CB0B" w14:textId="77777777" w:rsidR="005C02D7" w:rsidRDefault="005C02D7">
      <w:pPr>
        <w:pStyle w:val="BodyText"/>
        <w:ind w:left="0"/>
        <w:rPr>
          <w:sz w:val="20"/>
        </w:rPr>
      </w:pPr>
    </w:p>
    <w:p w14:paraId="2B62CB0C" w14:textId="77777777" w:rsidR="005C02D7" w:rsidRDefault="005C02D7">
      <w:pPr>
        <w:pStyle w:val="BodyText"/>
        <w:spacing w:before="7"/>
        <w:ind w:left="0"/>
        <w:rPr>
          <w:sz w:val="27"/>
        </w:rPr>
      </w:pPr>
    </w:p>
    <w:p w14:paraId="2B62CB0D" w14:textId="77777777" w:rsidR="005C02D7" w:rsidRDefault="00932F6C">
      <w:pPr>
        <w:spacing w:before="44" w:line="341" w:lineRule="exact"/>
        <w:ind w:left="120"/>
        <w:rPr>
          <w:sz w:val="28"/>
        </w:rPr>
      </w:pPr>
      <w:r>
        <w:rPr>
          <w:color w:val="2F5496"/>
          <w:sz w:val="28"/>
        </w:rPr>
        <w:t>Content</w:t>
      </w:r>
    </w:p>
    <w:sdt>
      <w:sdtPr>
        <w:id w:val="1711918740"/>
        <w:docPartObj>
          <w:docPartGallery w:val="Table of Contents"/>
          <w:docPartUnique/>
        </w:docPartObj>
      </w:sdtPr>
      <w:sdtEndPr/>
      <w:sdtContent>
        <w:p w14:paraId="2B62CB0E" w14:textId="77777777" w:rsidR="005C02D7" w:rsidRDefault="00054E13">
          <w:pPr>
            <w:pStyle w:val="TOC1"/>
            <w:tabs>
              <w:tab w:val="left" w:leader="dot" w:pos="10799"/>
            </w:tabs>
            <w:spacing w:line="268" w:lineRule="exact"/>
            <w:ind w:left="120"/>
            <w:rPr>
              <w:b w:val="0"/>
            </w:rPr>
          </w:pPr>
          <w:hyperlink w:anchor="_bookmark0" w:history="1">
            <w:r w:rsidR="00932F6C">
              <w:t>General</w:t>
            </w:r>
            <w:r w:rsidR="00932F6C">
              <w:tab/>
            </w:r>
            <w:r w:rsidR="00932F6C">
              <w:rPr>
                <w:b w:val="0"/>
              </w:rPr>
              <w:t>2</w:t>
            </w:r>
          </w:hyperlink>
        </w:p>
        <w:p w14:paraId="2B62CB0F" w14:textId="77777777" w:rsidR="005C02D7" w:rsidRDefault="00054E13">
          <w:pPr>
            <w:pStyle w:val="TOC2"/>
            <w:numPr>
              <w:ilvl w:val="0"/>
              <w:numId w:val="3"/>
            </w:numPr>
            <w:tabs>
              <w:tab w:val="left" w:pos="564"/>
              <w:tab w:val="left" w:leader="dot" w:pos="10799"/>
            </w:tabs>
            <w:ind w:hanging="223"/>
            <w:rPr>
              <w:b w:val="0"/>
            </w:rPr>
          </w:pPr>
          <w:hyperlink w:anchor="_bookmark1" w:history="1">
            <w:r w:rsidR="00932F6C">
              <w:t>What is the Student Centered Funding</w:t>
            </w:r>
            <w:r w:rsidR="00932F6C">
              <w:rPr>
                <w:spacing w:val="-14"/>
              </w:rPr>
              <w:t xml:space="preserve"> </w:t>
            </w:r>
            <w:r w:rsidR="00932F6C">
              <w:t>Formula</w:t>
            </w:r>
            <w:r w:rsidR="00932F6C">
              <w:rPr>
                <w:spacing w:val="-3"/>
              </w:rPr>
              <w:t xml:space="preserve"> </w:t>
            </w:r>
            <w:r w:rsidR="00932F6C">
              <w:t>(SCFF)?</w:t>
            </w:r>
            <w:r w:rsidR="00932F6C">
              <w:tab/>
            </w:r>
            <w:r w:rsidR="00932F6C">
              <w:rPr>
                <w:b w:val="0"/>
              </w:rPr>
              <w:t>2</w:t>
            </w:r>
          </w:hyperlink>
        </w:p>
        <w:p w14:paraId="2B62CB10" w14:textId="77777777" w:rsidR="005C02D7" w:rsidRDefault="00054E13">
          <w:pPr>
            <w:pStyle w:val="TOC2"/>
            <w:numPr>
              <w:ilvl w:val="0"/>
              <w:numId w:val="3"/>
            </w:numPr>
            <w:tabs>
              <w:tab w:val="left" w:pos="564"/>
              <w:tab w:val="left" w:leader="dot" w:pos="10799"/>
            </w:tabs>
            <w:spacing w:before="123"/>
            <w:ind w:hanging="223"/>
            <w:rPr>
              <w:b w:val="0"/>
            </w:rPr>
          </w:pPr>
          <w:hyperlink w:anchor="_bookmark2" w:history="1">
            <w:r w:rsidR="00932F6C">
              <w:t>What is the purpose of changing the funding formula? How will the new funding formula</w:t>
            </w:r>
            <w:r w:rsidR="00932F6C">
              <w:rPr>
                <w:spacing w:val="-30"/>
              </w:rPr>
              <w:t xml:space="preserve"> </w:t>
            </w:r>
            <w:r w:rsidR="00932F6C">
              <w:t>help</w:t>
            </w:r>
            <w:r w:rsidR="00932F6C">
              <w:rPr>
                <w:spacing w:val="-2"/>
              </w:rPr>
              <w:t xml:space="preserve"> </w:t>
            </w:r>
            <w:r w:rsidR="00932F6C">
              <w:t>students?</w:t>
            </w:r>
            <w:r w:rsidR="00932F6C">
              <w:tab/>
            </w:r>
            <w:r w:rsidR="00932F6C">
              <w:rPr>
                <w:b w:val="0"/>
              </w:rPr>
              <w:t>2</w:t>
            </w:r>
          </w:hyperlink>
        </w:p>
        <w:p w14:paraId="2B62CB11" w14:textId="77777777" w:rsidR="005C02D7" w:rsidRDefault="00054E13">
          <w:pPr>
            <w:pStyle w:val="TOC3"/>
            <w:numPr>
              <w:ilvl w:val="0"/>
              <w:numId w:val="3"/>
            </w:numPr>
            <w:tabs>
              <w:tab w:val="left" w:pos="564"/>
              <w:tab w:val="left" w:leader="dot" w:pos="10799"/>
            </w:tabs>
            <w:ind w:hanging="223"/>
            <w:rPr>
              <w:b w:val="0"/>
              <w:i w:val="0"/>
            </w:rPr>
          </w:pPr>
          <w:hyperlink w:anchor="_bookmark3" w:history="1">
            <w:r w:rsidR="00932F6C">
              <w:rPr>
                <w:i w:val="0"/>
              </w:rPr>
              <w:t xml:space="preserve">How is the new funding formula aligned with the </w:t>
            </w:r>
            <w:r w:rsidR="00932F6C">
              <w:t>Vision</w:t>
            </w:r>
            <w:r w:rsidR="00932F6C">
              <w:rPr>
                <w:spacing w:val="-24"/>
              </w:rPr>
              <w:t xml:space="preserve"> </w:t>
            </w:r>
            <w:r w:rsidR="00932F6C">
              <w:t>for</w:t>
            </w:r>
            <w:r w:rsidR="00932F6C">
              <w:rPr>
                <w:spacing w:val="-2"/>
              </w:rPr>
              <w:t xml:space="preserve"> </w:t>
            </w:r>
            <w:r w:rsidR="00932F6C">
              <w:t>Success</w:t>
            </w:r>
            <w:r w:rsidR="00932F6C">
              <w:rPr>
                <w:i w:val="0"/>
              </w:rPr>
              <w:t>?</w:t>
            </w:r>
            <w:r w:rsidR="00932F6C">
              <w:rPr>
                <w:i w:val="0"/>
              </w:rPr>
              <w:tab/>
            </w:r>
            <w:r w:rsidR="00932F6C">
              <w:rPr>
                <w:b w:val="0"/>
                <w:i w:val="0"/>
              </w:rPr>
              <w:t>2</w:t>
            </w:r>
          </w:hyperlink>
        </w:p>
        <w:p w14:paraId="2B62CB12" w14:textId="77777777" w:rsidR="005C02D7" w:rsidRDefault="00054E13">
          <w:pPr>
            <w:pStyle w:val="TOC2"/>
            <w:numPr>
              <w:ilvl w:val="0"/>
              <w:numId w:val="3"/>
            </w:numPr>
            <w:tabs>
              <w:tab w:val="left" w:pos="564"/>
              <w:tab w:val="left" w:leader="dot" w:pos="10798"/>
            </w:tabs>
            <w:rPr>
              <w:b w:val="0"/>
            </w:rPr>
          </w:pPr>
          <w:hyperlink w:anchor="_bookmark4" w:history="1">
            <w:r w:rsidR="00932F6C">
              <w:t>What is the timeline for implementing the new</w:t>
            </w:r>
            <w:r w:rsidR="00932F6C">
              <w:rPr>
                <w:spacing w:val="-21"/>
              </w:rPr>
              <w:t xml:space="preserve"> </w:t>
            </w:r>
            <w:r w:rsidR="00932F6C">
              <w:t>funding</w:t>
            </w:r>
            <w:r w:rsidR="00932F6C">
              <w:rPr>
                <w:spacing w:val="-1"/>
              </w:rPr>
              <w:t xml:space="preserve"> </w:t>
            </w:r>
            <w:r w:rsidR="00932F6C">
              <w:t>formula?</w:t>
            </w:r>
            <w:r w:rsidR="00932F6C">
              <w:tab/>
            </w:r>
            <w:r w:rsidR="00932F6C">
              <w:rPr>
                <w:b w:val="0"/>
              </w:rPr>
              <w:t>2</w:t>
            </w:r>
          </w:hyperlink>
        </w:p>
        <w:p w14:paraId="2B62CB13" w14:textId="77777777" w:rsidR="005C02D7" w:rsidRDefault="00054E13">
          <w:pPr>
            <w:pStyle w:val="TOC1"/>
            <w:tabs>
              <w:tab w:val="left" w:leader="dot" w:pos="10798"/>
            </w:tabs>
            <w:spacing w:before="123"/>
            <w:ind w:left="118"/>
            <w:rPr>
              <w:b w:val="0"/>
            </w:rPr>
          </w:pPr>
          <w:hyperlink w:anchor="_bookmark5" w:history="1">
            <w:r w:rsidR="00932F6C">
              <w:t>Formula</w:t>
            </w:r>
            <w:r w:rsidR="00932F6C">
              <w:rPr>
                <w:spacing w:val="-2"/>
              </w:rPr>
              <w:t xml:space="preserve"> </w:t>
            </w:r>
            <w:r w:rsidR="00932F6C">
              <w:t>Design</w:t>
            </w:r>
            <w:r w:rsidR="00932F6C">
              <w:tab/>
            </w:r>
            <w:r w:rsidR="00932F6C">
              <w:rPr>
                <w:b w:val="0"/>
              </w:rPr>
              <w:t>3</w:t>
            </w:r>
          </w:hyperlink>
        </w:p>
        <w:p w14:paraId="2B62CB14" w14:textId="77777777" w:rsidR="005C02D7" w:rsidRDefault="00054E13">
          <w:pPr>
            <w:pStyle w:val="TOC2"/>
            <w:numPr>
              <w:ilvl w:val="0"/>
              <w:numId w:val="3"/>
            </w:numPr>
            <w:tabs>
              <w:tab w:val="left" w:pos="563"/>
              <w:tab w:val="left" w:leader="dot" w:pos="10798"/>
            </w:tabs>
            <w:ind w:left="562" w:hanging="223"/>
            <w:rPr>
              <w:b w:val="0"/>
            </w:rPr>
          </w:pPr>
          <w:hyperlink w:anchor="_bookmark6" w:history="1">
            <w:r w:rsidR="00932F6C">
              <w:t>How is the new funding formula different from the current</w:t>
            </w:r>
            <w:r w:rsidR="00932F6C">
              <w:rPr>
                <w:spacing w:val="-26"/>
              </w:rPr>
              <w:t xml:space="preserve"> </w:t>
            </w:r>
            <w:r w:rsidR="00932F6C">
              <w:t>funding formula?</w:t>
            </w:r>
            <w:r w:rsidR="00932F6C">
              <w:tab/>
            </w:r>
            <w:r w:rsidR="00932F6C">
              <w:rPr>
                <w:b w:val="0"/>
              </w:rPr>
              <w:t>3</w:t>
            </w:r>
          </w:hyperlink>
        </w:p>
        <w:p w14:paraId="2B62CB15" w14:textId="77777777" w:rsidR="005C02D7" w:rsidRDefault="00054E13">
          <w:pPr>
            <w:pStyle w:val="TOC2"/>
            <w:numPr>
              <w:ilvl w:val="0"/>
              <w:numId w:val="3"/>
            </w:numPr>
            <w:tabs>
              <w:tab w:val="left" w:pos="563"/>
              <w:tab w:val="left" w:leader="dot" w:pos="10798"/>
            </w:tabs>
            <w:spacing w:before="123"/>
            <w:ind w:left="562" w:hanging="223"/>
            <w:rPr>
              <w:b w:val="0"/>
            </w:rPr>
          </w:pPr>
          <w:hyperlink w:anchor="_bookmark7" w:history="1">
            <w:r w:rsidR="00932F6C">
              <w:t>What are the components of the new</w:t>
            </w:r>
            <w:r w:rsidR="00932F6C">
              <w:rPr>
                <w:spacing w:val="-13"/>
              </w:rPr>
              <w:t xml:space="preserve"> </w:t>
            </w:r>
            <w:r w:rsidR="00932F6C">
              <w:t>funding</w:t>
            </w:r>
            <w:r w:rsidR="00932F6C">
              <w:rPr>
                <w:spacing w:val="-1"/>
              </w:rPr>
              <w:t xml:space="preserve"> </w:t>
            </w:r>
            <w:r w:rsidR="00932F6C">
              <w:t>formula?</w:t>
            </w:r>
            <w:r w:rsidR="00932F6C">
              <w:tab/>
            </w:r>
            <w:r w:rsidR="00932F6C">
              <w:rPr>
                <w:b w:val="0"/>
              </w:rPr>
              <w:t>3</w:t>
            </w:r>
          </w:hyperlink>
        </w:p>
        <w:p w14:paraId="2B62CB16" w14:textId="77777777" w:rsidR="005C02D7" w:rsidRDefault="00054E13">
          <w:pPr>
            <w:pStyle w:val="TOC2"/>
            <w:numPr>
              <w:ilvl w:val="0"/>
              <w:numId w:val="3"/>
            </w:numPr>
            <w:tabs>
              <w:tab w:val="left" w:pos="563"/>
              <w:tab w:val="left" w:leader="dot" w:pos="10798"/>
            </w:tabs>
            <w:ind w:left="562" w:hanging="223"/>
            <w:rPr>
              <w:b w:val="0"/>
            </w:rPr>
          </w:pPr>
          <w:hyperlink w:anchor="_bookmark8" w:history="1">
            <w:r w:rsidR="00932F6C">
              <w:t>How is per student funding determined for each of the parts of the</w:t>
            </w:r>
            <w:r w:rsidR="00932F6C">
              <w:rPr>
                <w:spacing w:val="-25"/>
              </w:rPr>
              <w:t xml:space="preserve"> </w:t>
            </w:r>
            <w:r w:rsidR="00932F6C">
              <w:t>funding formula?</w:t>
            </w:r>
            <w:r w:rsidR="00932F6C">
              <w:tab/>
            </w:r>
            <w:r w:rsidR="00932F6C">
              <w:rPr>
                <w:b w:val="0"/>
              </w:rPr>
              <w:t>3</w:t>
            </w:r>
          </w:hyperlink>
        </w:p>
        <w:p w14:paraId="2B62CB17" w14:textId="77777777" w:rsidR="005C02D7" w:rsidRDefault="00054E13">
          <w:pPr>
            <w:pStyle w:val="TOC2"/>
            <w:numPr>
              <w:ilvl w:val="0"/>
              <w:numId w:val="3"/>
            </w:numPr>
            <w:tabs>
              <w:tab w:val="left" w:pos="562"/>
              <w:tab w:val="left" w:leader="dot" w:pos="10797"/>
            </w:tabs>
            <w:spacing w:before="121"/>
            <w:ind w:left="561" w:hanging="223"/>
            <w:rPr>
              <w:b w:val="0"/>
            </w:rPr>
          </w:pPr>
          <w:hyperlink w:anchor="_bookmark9" w:history="1">
            <w:r w:rsidR="00932F6C">
              <w:t>Which students are included in the</w:t>
            </w:r>
            <w:r w:rsidR="00932F6C">
              <w:rPr>
                <w:spacing w:val="-15"/>
              </w:rPr>
              <w:t xml:space="preserve"> </w:t>
            </w:r>
            <w:r w:rsidR="00932F6C">
              <w:t>Base</w:t>
            </w:r>
            <w:r w:rsidR="00932F6C">
              <w:rPr>
                <w:spacing w:val="-4"/>
              </w:rPr>
              <w:t xml:space="preserve"> </w:t>
            </w:r>
            <w:r w:rsidR="00932F6C">
              <w:t>Allocation?</w:t>
            </w:r>
            <w:r w:rsidR="00932F6C">
              <w:tab/>
            </w:r>
            <w:r w:rsidR="00932F6C">
              <w:rPr>
                <w:b w:val="0"/>
              </w:rPr>
              <w:t>3</w:t>
            </w:r>
          </w:hyperlink>
        </w:p>
        <w:p w14:paraId="2B62CB18" w14:textId="77777777" w:rsidR="005C02D7" w:rsidRDefault="00054E13">
          <w:pPr>
            <w:pStyle w:val="TOC2"/>
            <w:numPr>
              <w:ilvl w:val="0"/>
              <w:numId w:val="3"/>
            </w:numPr>
            <w:tabs>
              <w:tab w:val="left" w:pos="562"/>
              <w:tab w:val="left" w:leader="dot" w:pos="10797"/>
            </w:tabs>
            <w:spacing w:before="122"/>
            <w:ind w:left="561" w:hanging="223"/>
            <w:rPr>
              <w:b w:val="0"/>
            </w:rPr>
          </w:pPr>
          <w:hyperlink w:anchor="_bookmark10" w:history="1">
            <w:r w:rsidR="00932F6C">
              <w:t>Which students are counted for the</w:t>
            </w:r>
            <w:r w:rsidR="00932F6C">
              <w:rPr>
                <w:spacing w:val="-18"/>
              </w:rPr>
              <w:t xml:space="preserve"> </w:t>
            </w:r>
            <w:r w:rsidR="00932F6C">
              <w:t>Supplemental</w:t>
            </w:r>
            <w:r w:rsidR="00932F6C">
              <w:rPr>
                <w:spacing w:val="-1"/>
              </w:rPr>
              <w:t xml:space="preserve"> </w:t>
            </w:r>
            <w:r w:rsidR="00932F6C">
              <w:t>Allocation?</w:t>
            </w:r>
            <w:r w:rsidR="00932F6C">
              <w:tab/>
            </w:r>
            <w:r w:rsidR="00932F6C">
              <w:rPr>
                <w:b w:val="0"/>
              </w:rPr>
              <w:t>3</w:t>
            </w:r>
          </w:hyperlink>
        </w:p>
        <w:p w14:paraId="2B62CB19" w14:textId="77777777" w:rsidR="005C02D7" w:rsidRDefault="00054E13">
          <w:pPr>
            <w:pStyle w:val="TOC2"/>
            <w:numPr>
              <w:ilvl w:val="0"/>
              <w:numId w:val="3"/>
            </w:numPr>
            <w:tabs>
              <w:tab w:val="left" w:pos="672"/>
              <w:tab w:val="left" w:leader="dot" w:pos="10797"/>
            </w:tabs>
            <w:spacing w:before="121"/>
            <w:ind w:left="671" w:hanging="333"/>
            <w:rPr>
              <w:b w:val="0"/>
            </w:rPr>
          </w:pPr>
          <w:hyperlink w:anchor="_bookmark11" w:history="1">
            <w:r w:rsidR="00932F6C">
              <w:t>Which outcomes are counted for the Student</w:t>
            </w:r>
            <w:r w:rsidR="00932F6C">
              <w:rPr>
                <w:spacing w:val="-18"/>
              </w:rPr>
              <w:t xml:space="preserve"> </w:t>
            </w:r>
            <w:r w:rsidR="00932F6C">
              <w:t>Success</w:t>
            </w:r>
            <w:r w:rsidR="00932F6C">
              <w:rPr>
                <w:spacing w:val="-4"/>
              </w:rPr>
              <w:t xml:space="preserve"> </w:t>
            </w:r>
            <w:r w:rsidR="00932F6C">
              <w:t>Allocation?</w:t>
            </w:r>
            <w:r w:rsidR="00932F6C">
              <w:tab/>
            </w:r>
            <w:r w:rsidR="00932F6C">
              <w:rPr>
                <w:b w:val="0"/>
              </w:rPr>
              <w:t>3</w:t>
            </w:r>
          </w:hyperlink>
        </w:p>
        <w:p w14:paraId="2B62CB1A" w14:textId="77777777" w:rsidR="005C02D7" w:rsidRDefault="00054E13">
          <w:pPr>
            <w:pStyle w:val="TOC2"/>
            <w:numPr>
              <w:ilvl w:val="0"/>
              <w:numId w:val="3"/>
            </w:numPr>
            <w:tabs>
              <w:tab w:val="left" w:pos="672"/>
              <w:tab w:val="left" w:leader="dot" w:pos="10797"/>
            </w:tabs>
            <w:spacing w:before="122"/>
            <w:ind w:left="671" w:hanging="333"/>
            <w:rPr>
              <w:b w:val="0"/>
            </w:rPr>
          </w:pPr>
          <w:hyperlink w:anchor="_bookmark12" w:history="1">
            <w:r w:rsidR="00932F6C">
              <w:t>What was the process for constructing this new</w:t>
            </w:r>
            <w:r w:rsidR="00932F6C">
              <w:rPr>
                <w:spacing w:val="-20"/>
              </w:rPr>
              <w:t xml:space="preserve"> </w:t>
            </w:r>
            <w:r w:rsidR="00932F6C">
              <w:t>funding</w:t>
            </w:r>
            <w:r w:rsidR="00932F6C">
              <w:rPr>
                <w:spacing w:val="-1"/>
              </w:rPr>
              <w:t xml:space="preserve"> </w:t>
            </w:r>
            <w:r w:rsidR="00932F6C">
              <w:t>formula?</w:t>
            </w:r>
            <w:r w:rsidR="00932F6C">
              <w:tab/>
            </w:r>
            <w:r w:rsidR="00932F6C">
              <w:rPr>
                <w:b w:val="0"/>
              </w:rPr>
              <w:t>4</w:t>
            </w:r>
          </w:hyperlink>
        </w:p>
        <w:p w14:paraId="2B62CB1B" w14:textId="77777777" w:rsidR="005C02D7" w:rsidRDefault="00054E13">
          <w:pPr>
            <w:pStyle w:val="TOC2"/>
            <w:numPr>
              <w:ilvl w:val="0"/>
              <w:numId w:val="3"/>
            </w:numPr>
            <w:tabs>
              <w:tab w:val="left" w:pos="672"/>
              <w:tab w:val="left" w:leader="dot" w:pos="10796"/>
            </w:tabs>
            <w:ind w:left="671" w:hanging="334"/>
            <w:rPr>
              <w:b w:val="0"/>
            </w:rPr>
          </w:pPr>
          <w:hyperlink w:anchor="_bookmark13" w:history="1">
            <w:r w:rsidR="00932F6C">
              <w:t>How does the new funding formula change categorical</w:t>
            </w:r>
            <w:r w:rsidR="00932F6C">
              <w:rPr>
                <w:spacing w:val="-18"/>
              </w:rPr>
              <w:t xml:space="preserve"> </w:t>
            </w:r>
            <w:r w:rsidR="00932F6C">
              <w:t>program</w:t>
            </w:r>
            <w:r w:rsidR="00932F6C">
              <w:rPr>
                <w:spacing w:val="-2"/>
              </w:rPr>
              <w:t xml:space="preserve"> </w:t>
            </w:r>
            <w:r w:rsidR="00932F6C">
              <w:t>funding?</w:t>
            </w:r>
            <w:r w:rsidR="00932F6C">
              <w:tab/>
            </w:r>
            <w:r w:rsidR="00932F6C">
              <w:rPr>
                <w:b w:val="0"/>
              </w:rPr>
              <w:t>4</w:t>
            </w:r>
          </w:hyperlink>
        </w:p>
        <w:p w14:paraId="2B62CB1C" w14:textId="77777777" w:rsidR="005C02D7" w:rsidRDefault="00054E13">
          <w:pPr>
            <w:pStyle w:val="TOC2"/>
            <w:numPr>
              <w:ilvl w:val="0"/>
              <w:numId w:val="3"/>
            </w:numPr>
            <w:tabs>
              <w:tab w:val="left" w:pos="672"/>
              <w:tab w:val="left" w:leader="dot" w:pos="10796"/>
            </w:tabs>
            <w:spacing w:before="123"/>
            <w:ind w:left="671" w:hanging="334"/>
            <w:rPr>
              <w:b w:val="0"/>
            </w:rPr>
          </w:pPr>
          <w:hyperlink w:anchor="_bookmark14" w:history="1">
            <w:r w:rsidR="00932F6C">
              <w:t>Did everything change with the new funding formula, such as summer shift, stability,</w:t>
            </w:r>
            <w:r w:rsidR="00932F6C">
              <w:rPr>
                <w:spacing w:val="-36"/>
              </w:rPr>
              <w:t xml:space="preserve"> </w:t>
            </w:r>
            <w:r w:rsidR="00932F6C">
              <w:t>restoration</w:t>
            </w:r>
            <w:r w:rsidR="00932F6C">
              <w:rPr>
                <w:spacing w:val="-3"/>
              </w:rPr>
              <w:t xml:space="preserve"> </w:t>
            </w:r>
            <w:r w:rsidR="00932F6C">
              <w:t>provisions?</w:t>
            </w:r>
            <w:r w:rsidR="00932F6C">
              <w:tab/>
            </w:r>
            <w:r w:rsidR="00932F6C">
              <w:rPr>
                <w:b w:val="0"/>
              </w:rPr>
              <w:t>4</w:t>
            </w:r>
          </w:hyperlink>
        </w:p>
        <w:p w14:paraId="2B62CB1D" w14:textId="77777777" w:rsidR="005C02D7" w:rsidRDefault="00054E13">
          <w:pPr>
            <w:pStyle w:val="TOC2"/>
            <w:numPr>
              <w:ilvl w:val="0"/>
              <w:numId w:val="3"/>
            </w:numPr>
            <w:tabs>
              <w:tab w:val="left" w:pos="672"/>
            </w:tabs>
            <w:spacing w:before="123"/>
            <w:ind w:left="671" w:hanging="334"/>
          </w:pPr>
          <w:hyperlink w:anchor="_bookmark15" w:history="1">
            <w:r w:rsidR="00932F6C">
              <w:t>How</w:t>
            </w:r>
            <w:r w:rsidR="00932F6C">
              <w:rPr>
                <w:spacing w:val="-3"/>
              </w:rPr>
              <w:t xml:space="preserve"> </w:t>
            </w:r>
            <w:r w:rsidR="00932F6C">
              <w:t>does</w:t>
            </w:r>
            <w:r w:rsidR="00932F6C">
              <w:rPr>
                <w:spacing w:val="-1"/>
              </w:rPr>
              <w:t xml:space="preserve"> </w:t>
            </w:r>
            <w:r w:rsidR="00932F6C">
              <w:t>this funding</w:t>
            </w:r>
            <w:r w:rsidR="00932F6C">
              <w:rPr>
                <w:spacing w:val="-6"/>
              </w:rPr>
              <w:t xml:space="preserve"> </w:t>
            </w:r>
            <w:r w:rsidR="00932F6C">
              <w:t>formula</w:t>
            </w:r>
            <w:r w:rsidR="00932F6C">
              <w:rPr>
                <w:spacing w:val="-2"/>
              </w:rPr>
              <w:t xml:space="preserve"> </w:t>
            </w:r>
            <w:r w:rsidR="00932F6C">
              <w:t>compare</w:t>
            </w:r>
            <w:r w:rsidR="00932F6C">
              <w:rPr>
                <w:spacing w:val="-3"/>
              </w:rPr>
              <w:t xml:space="preserve"> </w:t>
            </w:r>
            <w:r w:rsidR="00932F6C">
              <w:t>with</w:t>
            </w:r>
            <w:r w:rsidR="00932F6C">
              <w:rPr>
                <w:spacing w:val="-3"/>
              </w:rPr>
              <w:t xml:space="preserve"> </w:t>
            </w:r>
            <w:r w:rsidR="00932F6C">
              <w:t>other states</w:t>
            </w:r>
            <w:r w:rsidR="00932F6C">
              <w:rPr>
                <w:spacing w:val="-4"/>
              </w:rPr>
              <w:t xml:space="preserve"> </w:t>
            </w:r>
            <w:r w:rsidR="00932F6C">
              <w:t>and</w:t>
            </w:r>
            <w:r w:rsidR="00932F6C">
              <w:rPr>
                <w:spacing w:val="-2"/>
              </w:rPr>
              <w:t xml:space="preserve"> </w:t>
            </w:r>
            <w:r w:rsidR="00932F6C">
              <w:t>more</w:t>
            </w:r>
            <w:r w:rsidR="00932F6C">
              <w:rPr>
                <w:spacing w:val="-5"/>
              </w:rPr>
              <w:t xml:space="preserve"> </w:t>
            </w:r>
            <w:r w:rsidR="00932F6C">
              <w:t>general</w:t>
            </w:r>
            <w:r w:rsidR="00932F6C">
              <w:rPr>
                <w:spacing w:val="-2"/>
              </w:rPr>
              <w:t xml:space="preserve"> </w:t>
            </w:r>
            <w:r w:rsidR="00932F6C">
              <w:t>outcomes</w:t>
            </w:r>
            <w:r w:rsidR="00932F6C">
              <w:rPr>
                <w:spacing w:val="-1"/>
              </w:rPr>
              <w:t xml:space="preserve"> </w:t>
            </w:r>
            <w:r w:rsidR="00932F6C">
              <w:t>based</w:t>
            </w:r>
            <w:r w:rsidR="00932F6C">
              <w:rPr>
                <w:spacing w:val="-3"/>
              </w:rPr>
              <w:t xml:space="preserve"> </w:t>
            </w:r>
            <w:r w:rsidR="00932F6C">
              <w:t>funding</w:t>
            </w:r>
            <w:r w:rsidR="00932F6C">
              <w:rPr>
                <w:spacing w:val="-2"/>
              </w:rPr>
              <w:t xml:space="preserve"> </w:t>
            </w:r>
            <w:r w:rsidR="00932F6C">
              <w:t>formulas?</w:t>
            </w:r>
          </w:hyperlink>
        </w:p>
        <w:p w14:paraId="2B62CB1E" w14:textId="77777777" w:rsidR="005C02D7" w:rsidRDefault="00054E13">
          <w:pPr>
            <w:pStyle w:val="TOC4"/>
          </w:pPr>
          <w:hyperlink w:anchor="_bookmark15" w:history="1">
            <w:r w:rsidR="00932F6C">
              <w:t>............................................................................................................................................................................................ 4</w:t>
            </w:r>
          </w:hyperlink>
        </w:p>
        <w:p w14:paraId="2B62CB1F" w14:textId="77777777" w:rsidR="005C02D7" w:rsidRDefault="00054E13">
          <w:pPr>
            <w:pStyle w:val="TOC1"/>
            <w:tabs>
              <w:tab w:val="left" w:leader="dot" w:pos="10796"/>
            </w:tabs>
            <w:spacing w:before="121"/>
            <w:rPr>
              <w:b w:val="0"/>
            </w:rPr>
          </w:pPr>
          <w:hyperlink w:anchor="_bookmark16" w:history="1">
            <w:r w:rsidR="00932F6C">
              <w:t>Implementation</w:t>
            </w:r>
            <w:r w:rsidR="00932F6C">
              <w:rPr>
                <w:spacing w:val="-3"/>
              </w:rPr>
              <w:t xml:space="preserve"> </w:t>
            </w:r>
            <w:r w:rsidR="00932F6C">
              <w:t>Process</w:t>
            </w:r>
            <w:r w:rsidR="00932F6C">
              <w:tab/>
            </w:r>
            <w:r w:rsidR="00932F6C">
              <w:rPr>
                <w:b w:val="0"/>
              </w:rPr>
              <w:t>4</w:t>
            </w:r>
          </w:hyperlink>
        </w:p>
        <w:p w14:paraId="2B62CB20" w14:textId="77777777" w:rsidR="005C02D7" w:rsidRDefault="00054E13">
          <w:pPr>
            <w:pStyle w:val="TOC2"/>
            <w:numPr>
              <w:ilvl w:val="0"/>
              <w:numId w:val="3"/>
            </w:numPr>
            <w:tabs>
              <w:tab w:val="left" w:pos="671"/>
              <w:tab w:val="left" w:leader="dot" w:pos="10796"/>
            </w:tabs>
            <w:spacing w:before="122"/>
            <w:ind w:left="670" w:hanging="333"/>
            <w:rPr>
              <w:b w:val="0"/>
            </w:rPr>
          </w:pPr>
          <w:hyperlink w:anchor="_bookmark17" w:history="1">
            <w:r w:rsidR="00932F6C">
              <w:t>How will district funding levels</w:t>
            </w:r>
            <w:r w:rsidR="00932F6C">
              <w:rPr>
                <w:spacing w:val="-12"/>
              </w:rPr>
              <w:t xml:space="preserve"> </w:t>
            </w:r>
            <w:r w:rsidR="00932F6C">
              <w:t>be</w:t>
            </w:r>
            <w:r w:rsidR="00932F6C">
              <w:rPr>
                <w:spacing w:val="-2"/>
              </w:rPr>
              <w:t xml:space="preserve"> </w:t>
            </w:r>
            <w:r w:rsidR="00932F6C">
              <w:t>affected?</w:t>
            </w:r>
            <w:r w:rsidR="00932F6C">
              <w:tab/>
            </w:r>
            <w:r w:rsidR="00932F6C">
              <w:rPr>
                <w:b w:val="0"/>
              </w:rPr>
              <w:t>4</w:t>
            </w:r>
          </w:hyperlink>
        </w:p>
        <w:p w14:paraId="2B62CB21" w14:textId="77777777" w:rsidR="005C02D7" w:rsidRDefault="00054E13">
          <w:pPr>
            <w:pStyle w:val="TOC2"/>
            <w:numPr>
              <w:ilvl w:val="0"/>
              <w:numId w:val="3"/>
            </w:numPr>
            <w:tabs>
              <w:tab w:val="left" w:pos="671"/>
              <w:tab w:val="left" w:leader="dot" w:pos="10795"/>
            </w:tabs>
            <w:spacing w:before="121" w:line="348" w:lineRule="auto"/>
            <w:ind w:left="337" w:right="127" w:hanging="1"/>
            <w:rPr>
              <w:b w:val="0"/>
            </w:rPr>
          </w:pPr>
          <w:hyperlink w:anchor="_bookmark18" w:history="1">
            <w:r w:rsidR="00932F6C">
              <w:t>Will there be more funding or does the new funding formula just divide up the same dollars in a different way?</w:t>
            </w:r>
            <w:r w:rsidR="00932F6C">
              <w:rPr>
                <w:b w:val="0"/>
              </w:rPr>
              <w:t>5</w:t>
            </w:r>
          </w:hyperlink>
          <w:hyperlink w:anchor="_bookmark19" w:history="1">
            <w:r w:rsidR="00932F6C">
              <w:rPr>
                <w:b w:val="0"/>
              </w:rPr>
              <w:t xml:space="preserve"> </w:t>
            </w:r>
            <w:r w:rsidR="00932F6C">
              <w:t>17. Is there a Hold Harmless and if so for how</w:t>
            </w:r>
            <w:r w:rsidR="00932F6C">
              <w:rPr>
                <w:spacing w:val="-17"/>
              </w:rPr>
              <w:t xml:space="preserve"> </w:t>
            </w:r>
            <w:r w:rsidR="00932F6C">
              <w:t>many</w:t>
            </w:r>
            <w:r w:rsidR="00932F6C">
              <w:rPr>
                <w:spacing w:val="-4"/>
              </w:rPr>
              <w:t xml:space="preserve"> </w:t>
            </w:r>
            <w:r w:rsidR="00932F6C">
              <w:t>years?</w:t>
            </w:r>
            <w:r w:rsidR="00932F6C">
              <w:tab/>
            </w:r>
            <w:r w:rsidR="00932F6C">
              <w:rPr>
                <w:b w:val="0"/>
                <w:spacing w:val="-14"/>
              </w:rPr>
              <w:t>5</w:t>
            </w:r>
          </w:hyperlink>
        </w:p>
        <w:p w14:paraId="2B62CB22" w14:textId="77777777" w:rsidR="005C02D7" w:rsidRDefault="00054E13">
          <w:pPr>
            <w:pStyle w:val="TOC2"/>
            <w:numPr>
              <w:ilvl w:val="0"/>
              <w:numId w:val="2"/>
            </w:numPr>
            <w:tabs>
              <w:tab w:val="left" w:pos="671"/>
              <w:tab w:val="left" w:leader="dot" w:pos="10795"/>
            </w:tabs>
            <w:spacing w:before="3" w:line="256" w:lineRule="auto"/>
            <w:ind w:right="130" w:firstLine="0"/>
            <w:rPr>
              <w:b w:val="0"/>
            </w:rPr>
          </w:pPr>
          <w:hyperlink w:anchor="_bookmark20" w:history="1">
            <w:r w:rsidR="00932F6C">
              <w:t>Will each district receive 70% of its funding from the Base Allocation, 20% from the Supplemental Allocation,</w:t>
            </w:r>
          </w:hyperlink>
          <w:hyperlink w:anchor="_bookmark20" w:history="1">
            <w:r w:rsidR="00932F6C">
              <w:t xml:space="preserve"> and 10% from the Student Success Allocation</w:t>
            </w:r>
            <w:r w:rsidR="00932F6C">
              <w:rPr>
                <w:spacing w:val="-17"/>
              </w:rPr>
              <w:t xml:space="preserve"> </w:t>
            </w:r>
            <w:r w:rsidR="00932F6C">
              <w:t>in</w:t>
            </w:r>
            <w:r w:rsidR="00932F6C">
              <w:rPr>
                <w:spacing w:val="-5"/>
              </w:rPr>
              <w:t xml:space="preserve"> </w:t>
            </w:r>
            <w:r w:rsidR="00932F6C">
              <w:t>2018-19?</w:t>
            </w:r>
            <w:r w:rsidR="00932F6C">
              <w:tab/>
            </w:r>
            <w:r w:rsidR="00932F6C">
              <w:rPr>
                <w:b w:val="0"/>
                <w:spacing w:val="-17"/>
              </w:rPr>
              <w:t>5</w:t>
            </w:r>
          </w:hyperlink>
        </w:p>
        <w:p w14:paraId="2B62CB23" w14:textId="77777777" w:rsidR="005C02D7" w:rsidRDefault="00054E13">
          <w:pPr>
            <w:pStyle w:val="TOC2"/>
            <w:numPr>
              <w:ilvl w:val="0"/>
              <w:numId w:val="2"/>
            </w:numPr>
            <w:tabs>
              <w:tab w:val="left" w:pos="671"/>
              <w:tab w:val="left" w:leader="dot" w:pos="10795"/>
            </w:tabs>
            <w:spacing w:before="105" w:line="256" w:lineRule="auto"/>
            <w:ind w:right="130" w:firstLine="0"/>
            <w:rPr>
              <w:b w:val="0"/>
            </w:rPr>
          </w:pPr>
          <w:hyperlink w:anchor="_bookmark21" w:history="1">
            <w:r w:rsidR="00932F6C">
              <w:t>How will the new funding formula affect the distribution of funding from a district to colleges in a multi-college</w:t>
            </w:r>
          </w:hyperlink>
          <w:hyperlink w:anchor="_bookmark21" w:history="1">
            <w:r w:rsidR="00932F6C">
              <w:t xml:space="preserve"> district?</w:t>
            </w:r>
            <w:r w:rsidR="00932F6C">
              <w:tab/>
            </w:r>
            <w:r w:rsidR="00932F6C">
              <w:rPr>
                <w:b w:val="0"/>
                <w:spacing w:val="-17"/>
              </w:rPr>
              <w:t>5</w:t>
            </w:r>
          </w:hyperlink>
        </w:p>
        <w:p w14:paraId="2B62CB24" w14:textId="77777777" w:rsidR="005C02D7" w:rsidRDefault="00054E13">
          <w:pPr>
            <w:pStyle w:val="TOC2"/>
            <w:numPr>
              <w:ilvl w:val="0"/>
              <w:numId w:val="2"/>
            </w:numPr>
            <w:tabs>
              <w:tab w:val="left" w:pos="670"/>
              <w:tab w:val="left" w:leader="dot" w:pos="10795"/>
            </w:tabs>
            <w:spacing w:before="104" w:line="256" w:lineRule="auto"/>
            <w:ind w:right="130" w:firstLine="0"/>
            <w:rPr>
              <w:b w:val="0"/>
            </w:rPr>
          </w:pPr>
          <w:hyperlink w:anchor="_bookmark22" w:history="1">
            <w:r w:rsidR="00932F6C">
              <w:t>What happens in the years when state funding for the system is cut (recessions)? Will all districts be reduced</w:t>
            </w:r>
          </w:hyperlink>
          <w:hyperlink w:anchor="_bookmark22" w:history="1">
            <w:r w:rsidR="00932F6C">
              <w:t xml:space="preserve"> proportionately? Is there a mechanism in this funding formula to account</w:t>
            </w:r>
            <w:r w:rsidR="00932F6C">
              <w:rPr>
                <w:spacing w:val="-23"/>
              </w:rPr>
              <w:t xml:space="preserve"> </w:t>
            </w:r>
            <w:r w:rsidR="00932F6C">
              <w:t>for</w:t>
            </w:r>
            <w:r w:rsidR="00932F6C">
              <w:rPr>
                <w:spacing w:val="-3"/>
              </w:rPr>
              <w:t xml:space="preserve"> </w:t>
            </w:r>
            <w:r w:rsidR="00932F6C">
              <w:t>this?</w:t>
            </w:r>
            <w:r w:rsidR="00932F6C">
              <w:tab/>
            </w:r>
            <w:r w:rsidR="00932F6C">
              <w:rPr>
                <w:b w:val="0"/>
                <w:spacing w:val="-17"/>
              </w:rPr>
              <w:t>5</w:t>
            </w:r>
          </w:hyperlink>
        </w:p>
        <w:p w14:paraId="2B62CB25" w14:textId="77777777" w:rsidR="005C02D7" w:rsidRDefault="00054E13">
          <w:pPr>
            <w:pStyle w:val="TOC2"/>
            <w:numPr>
              <w:ilvl w:val="0"/>
              <w:numId w:val="2"/>
            </w:numPr>
            <w:tabs>
              <w:tab w:val="left" w:pos="670"/>
              <w:tab w:val="left" w:leader="dot" w:pos="10795"/>
            </w:tabs>
            <w:spacing w:before="105" w:line="256" w:lineRule="auto"/>
            <w:ind w:right="130" w:firstLine="0"/>
            <w:rPr>
              <w:b w:val="0"/>
            </w:rPr>
          </w:pPr>
          <w:hyperlink w:anchor="_bookmark23" w:history="1">
            <w:r w:rsidR="00932F6C">
              <w:t>The community college system is facing soaring pension costs and overall enrollment decline, while</w:t>
            </w:r>
          </w:hyperlink>
          <w:hyperlink w:anchor="_bookmark23" w:history="1">
            <w:r w:rsidR="00932F6C">
              <w:t xml:space="preserve"> simultaneously being asked to increase services and support for students.  How does the</w:t>
            </w:r>
            <w:r w:rsidR="00932F6C">
              <w:rPr>
                <w:spacing w:val="-32"/>
              </w:rPr>
              <w:t xml:space="preserve"> </w:t>
            </w:r>
            <w:r w:rsidR="00932F6C">
              <w:t>SCFF</w:t>
            </w:r>
            <w:r w:rsidR="00932F6C">
              <w:rPr>
                <w:spacing w:val="-1"/>
              </w:rPr>
              <w:t xml:space="preserve"> </w:t>
            </w:r>
            <w:r w:rsidR="00932F6C">
              <w:t>help?</w:t>
            </w:r>
            <w:r w:rsidR="00932F6C">
              <w:tab/>
            </w:r>
            <w:r w:rsidR="00932F6C">
              <w:rPr>
                <w:b w:val="0"/>
                <w:spacing w:val="-17"/>
              </w:rPr>
              <w:t>5</w:t>
            </w:r>
          </w:hyperlink>
        </w:p>
      </w:sdtContent>
    </w:sdt>
    <w:p w14:paraId="2B62CB26" w14:textId="77777777" w:rsidR="005C02D7" w:rsidRDefault="005C02D7">
      <w:pPr>
        <w:spacing w:line="256" w:lineRule="auto"/>
        <w:sectPr w:rsidR="005C02D7">
          <w:type w:val="continuous"/>
          <w:pgSz w:w="12240" w:h="15840"/>
          <w:pgMar w:top="860" w:right="600" w:bottom="280" w:left="600" w:header="720" w:footer="720" w:gutter="0"/>
          <w:cols w:space="720"/>
        </w:sectPr>
      </w:pPr>
    </w:p>
    <w:p w14:paraId="2B62CB27" w14:textId="77777777" w:rsidR="005C02D7" w:rsidRDefault="005C02D7">
      <w:pPr>
        <w:pStyle w:val="BodyText"/>
        <w:spacing w:before="5"/>
        <w:ind w:left="0"/>
        <w:rPr>
          <w:rFonts w:ascii="Calibri"/>
          <w:sz w:val="13"/>
        </w:rPr>
      </w:pPr>
    </w:p>
    <w:p w14:paraId="2B62CB28" w14:textId="77777777" w:rsidR="005C02D7" w:rsidRDefault="00054E13">
      <w:pPr>
        <w:tabs>
          <w:tab w:val="left" w:leader="dot" w:pos="10799"/>
        </w:tabs>
        <w:spacing w:before="57"/>
        <w:ind w:left="120"/>
        <w:rPr>
          <w:rFonts w:ascii="Calibri"/>
        </w:rPr>
      </w:pPr>
      <w:hyperlink w:anchor="_bookmark24" w:history="1">
        <w:r w:rsidR="00932F6C">
          <w:rPr>
            <w:rFonts w:ascii="Calibri"/>
            <w:b/>
          </w:rPr>
          <w:t>Accountability and</w:t>
        </w:r>
        <w:r w:rsidR="00932F6C">
          <w:rPr>
            <w:rFonts w:ascii="Calibri"/>
            <w:b/>
            <w:spacing w:val="-5"/>
          </w:rPr>
          <w:t xml:space="preserve"> </w:t>
        </w:r>
        <w:r w:rsidR="00932F6C">
          <w:rPr>
            <w:rFonts w:ascii="Calibri"/>
            <w:b/>
          </w:rPr>
          <w:t>Reporting</w:t>
        </w:r>
        <w:r w:rsidR="00932F6C">
          <w:rPr>
            <w:rFonts w:ascii="Calibri"/>
            <w:b/>
            <w:spacing w:val="-2"/>
          </w:rPr>
          <w:t xml:space="preserve"> </w:t>
        </w:r>
        <w:r w:rsidR="00932F6C">
          <w:rPr>
            <w:rFonts w:ascii="Calibri"/>
            <w:b/>
          </w:rPr>
          <w:t>Process</w:t>
        </w:r>
        <w:r w:rsidR="00932F6C">
          <w:rPr>
            <w:rFonts w:ascii="Calibri"/>
            <w:b/>
          </w:rPr>
          <w:tab/>
        </w:r>
        <w:r w:rsidR="00932F6C">
          <w:rPr>
            <w:rFonts w:ascii="Calibri"/>
          </w:rPr>
          <w:t>5</w:t>
        </w:r>
      </w:hyperlink>
    </w:p>
    <w:p w14:paraId="2B62CB29" w14:textId="77777777" w:rsidR="005C02D7" w:rsidRDefault="00054E13">
      <w:pPr>
        <w:pStyle w:val="ListParagraph"/>
        <w:numPr>
          <w:ilvl w:val="0"/>
          <w:numId w:val="2"/>
        </w:numPr>
        <w:tabs>
          <w:tab w:val="left" w:pos="675"/>
          <w:tab w:val="left" w:leader="dot" w:pos="10799"/>
        </w:tabs>
        <w:ind w:left="674"/>
        <w:rPr>
          <w:rFonts w:ascii="Calibri" w:hAnsi="Calibri"/>
        </w:rPr>
      </w:pPr>
      <w:hyperlink w:anchor="_bookmark25" w:history="1">
        <w:r w:rsidR="00932F6C">
          <w:rPr>
            <w:rFonts w:ascii="Calibri" w:hAnsi="Calibri"/>
            <w:b/>
          </w:rPr>
          <w:t>What is the role of the</w:t>
        </w:r>
        <w:r w:rsidR="00932F6C">
          <w:rPr>
            <w:rFonts w:ascii="Calibri" w:hAnsi="Calibri"/>
            <w:b/>
            <w:spacing w:val="-14"/>
          </w:rPr>
          <w:t xml:space="preserve"> </w:t>
        </w:r>
        <w:r w:rsidR="00932F6C">
          <w:rPr>
            <w:rFonts w:ascii="Calibri" w:hAnsi="Calibri"/>
            <w:b/>
          </w:rPr>
          <w:t>Chancellor’s</w:t>
        </w:r>
        <w:r w:rsidR="00932F6C">
          <w:rPr>
            <w:rFonts w:ascii="Calibri" w:hAnsi="Calibri"/>
            <w:b/>
            <w:spacing w:val="-1"/>
          </w:rPr>
          <w:t xml:space="preserve"> </w:t>
        </w:r>
        <w:r w:rsidR="00932F6C">
          <w:rPr>
            <w:rFonts w:ascii="Calibri" w:hAnsi="Calibri"/>
            <w:b/>
          </w:rPr>
          <w:t>Office?</w:t>
        </w:r>
        <w:r w:rsidR="00932F6C">
          <w:rPr>
            <w:rFonts w:ascii="Calibri" w:hAnsi="Calibri"/>
            <w:b/>
          </w:rPr>
          <w:tab/>
        </w:r>
        <w:r w:rsidR="00932F6C">
          <w:rPr>
            <w:rFonts w:ascii="Calibri" w:hAnsi="Calibri"/>
          </w:rPr>
          <w:t>5</w:t>
        </w:r>
      </w:hyperlink>
    </w:p>
    <w:p w14:paraId="2B62CB2A" w14:textId="77777777" w:rsidR="005C02D7" w:rsidRDefault="00054E13">
      <w:pPr>
        <w:pStyle w:val="ListParagraph"/>
        <w:numPr>
          <w:ilvl w:val="0"/>
          <w:numId w:val="2"/>
        </w:numPr>
        <w:tabs>
          <w:tab w:val="left" w:pos="674"/>
          <w:tab w:val="left" w:leader="dot" w:pos="10799"/>
        </w:tabs>
        <w:spacing w:before="125" w:line="256" w:lineRule="auto"/>
        <w:ind w:left="340" w:right="126" w:firstLine="0"/>
        <w:rPr>
          <w:rFonts w:ascii="Calibri" w:hAnsi="Calibri"/>
        </w:rPr>
      </w:pPr>
      <w:hyperlink w:anchor="_bookmark26" w:history="1">
        <w:r w:rsidR="00932F6C">
          <w:rPr>
            <w:rFonts w:ascii="Calibri" w:hAnsi="Calibri"/>
            <w:b/>
          </w:rPr>
          <w:t>Will the Chancellor’s Office be sending out simulations for the funding formula for future years and if so when</w:t>
        </w:r>
      </w:hyperlink>
      <w:hyperlink w:anchor="_bookmark26" w:history="1">
        <w:r w:rsidR="00932F6C">
          <w:rPr>
            <w:rFonts w:ascii="Calibri" w:hAnsi="Calibri"/>
            <w:b/>
          </w:rPr>
          <w:t xml:space="preserve"> will</w:t>
        </w:r>
        <w:r w:rsidR="00932F6C">
          <w:rPr>
            <w:rFonts w:ascii="Calibri" w:hAnsi="Calibri"/>
            <w:b/>
            <w:spacing w:val="-2"/>
          </w:rPr>
          <w:t xml:space="preserve"> </w:t>
        </w:r>
        <w:r w:rsidR="00932F6C">
          <w:rPr>
            <w:rFonts w:ascii="Calibri" w:hAnsi="Calibri"/>
            <w:b/>
          </w:rPr>
          <w:t>this</w:t>
        </w:r>
        <w:r w:rsidR="00932F6C">
          <w:rPr>
            <w:rFonts w:ascii="Calibri" w:hAnsi="Calibri"/>
            <w:b/>
            <w:spacing w:val="-1"/>
          </w:rPr>
          <w:t xml:space="preserve"> </w:t>
        </w:r>
        <w:r w:rsidR="00932F6C">
          <w:rPr>
            <w:rFonts w:ascii="Calibri" w:hAnsi="Calibri"/>
            <w:b/>
          </w:rPr>
          <w:t>occur?</w:t>
        </w:r>
        <w:r w:rsidR="00932F6C">
          <w:rPr>
            <w:rFonts w:ascii="Calibri" w:hAnsi="Calibri"/>
            <w:b/>
          </w:rPr>
          <w:tab/>
        </w:r>
        <w:r w:rsidR="00932F6C">
          <w:rPr>
            <w:rFonts w:ascii="Calibri" w:hAnsi="Calibri"/>
            <w:spacing w:val="-17"/>
          </w:rPr>
          <w:t>5</w:t>
        </w:r>
      </w:hyperlink>
    </w:p>
    <w:p w14:paraId="2B62CB2B" w14:textId="77777777" w:rsidR="005C02D7" w:rsidRDefault="00054E13">
      <w:pPr>
        <w:pStyle w:val="ListParagraph"/>
        <w:numPr>
          <w:ilvl w:val="0"/>
          <w:numId w:val="2"/>
        </w:numPr>
        <w:tabs>
          <w:tab w:val="left" w:pos="674"/>
          <w:tab w:val="left" w:leader="dot" w:pos="10799"/>
        </w:tabs>
        <w:spacing w:before="105" w:line="256" w:lineRule="auto"/>
        <w:ind w:left="340" w:right="126" w:firstLine="0"/>
        <w:rPr>
          <w:rFonts w:ascii="Calibri"/>
        </w:rPr>
      </w:pPr>
      <w:hyperlink w:anchor="_bookmark27" w:history="1">
        <w:r w:rsidR="00932F6C">
          <w:rPr>
            <w:rFonts w:ascii="Calibri"/>
            <w:b/>
          </w:rPr>
          <w:t>What data and accountability reporting will districts be asked to produce to receive funding under the new</w:t>
        </w:r>
      </w:hyperlink>
      <w:hyperlink w:anchor="_bookmark27" w:history="1">
        <w:r w:rsidR="00932F6C">
          <w:rPr>
            <w:rFonts w:ascii="Calibri"/>
            <w:b/>
          </w:rPr>
          <w:t xml:space="preserve"> funding</w:t>
        </w:r>
        <w:r w:rsidR="00932F6C">
          <w:rPr>
            <w:rFonts w:ascii="Calibri"/>
            <w:b/>
            <w:spacing w:val="-2"/>
          </w:rPr>
          <w:t xml:space="preserve"> </w:t>
        </w:r>
        <w:r w:rsidR="00932F6C">
          <w:rPr>
            <w:rFonts w:ascii="Calibri"/>
            <w:b/>
          </w:rPr>
          <w:t>formula?</w:t>
        </w:r>
        <w:r w:rsidR="00932F6C">
          <w:rPr>
            <w:rFonts w:ascii="Calibri"/>
            <w:b/>
          </w:rPr>
          <w:tab/>
        </w:r>
        <w:r w:rsidR="00932F6C">
          <w:rPr>
            <w:rFonts w:ascii="Calibri"/>
            <w:spacing w:val="-17"/>
          </w:rPr>
          <w:t>6</w:t>
        </w:r>
      </w:hyperlink>
    </w:p>
    <w:p w14:paraId="2B62CB2C" w14:textId="77777777" w:rsidR="005C02D7" w:rsidRDefault="00054E13">
      <w:pPr>
        <w:pStyle w:val="ListParagraph"/>
        <w:numPr>
          <w:ilvl w:val="0"/>
          <w:numId w:val="2"/>
        </w:numPr>
        <w:tabs>
          <w:tab w:val="left" w:pos="674"/>
          <w:tab w:val="left" w:leader="dot" w:pos="10798"/>
        </w:tabs>
        <w:spacing w:before="102"/>
        <w:ind w:left="673"/>
        <w:rPr>
          <w:rFonts w:ascii="Calibri"/>
        </w:rPr>
      </w:pPr>
      <w:hyperlink w:anchor="_bookmark28" w:history="1">
        <w:r w:rsidR="00932F6C">
          <w:rPr>
            <w:rFonts w:ascii="Calibri"/>
            <w:b/>
          </w:rPr>
          <w:t>Will the supplemental and student success factors</w:t>
        </w:r>
        <w:r w:rsidR="00932F6C">
          <w:rPr>
            <w:rFonts w:ascii="Calibri"/>
            <w:b/>
            <w:spacing w:val="-16"/>
          </w:rPr>
          <w:t xml:space="preserve"> </w:t>
        </w:r>
        <w:r w:rsidR="00932F6C">
          <w:rPr>
            <w:rFonts w:ascii="Calibri"/>
            <w:b/>
          </w:rPr>
          <w:t>be</w:t>
        </w:r>
        <w:r w:rsidR="00932F6C">
          <w:rPr>
            <w:rFonts w:ascii="Calibri"/>
            <w:b/>
            <w:spacing w:val="-1"/>
          </w:rPr>
          <w:t xml:space="preserve"> </w:t>
        </w:r>
        <w:r w:rsidR="00932F6C">
          <w:rPr>
            <w:rFonts w:ascii="Calibri"/>
            <w:b/>
          </w:rPr>
          <w:t>audited?</w:t>
        </w:r>
        <w:r w:rsidR="00932F6C">
          <w:rPr>
            <w:rFonts w:ascii="Calibri"/>
            <w:b/>
          </w:rPr>
          <w:tab/>
        </w:r>
        <w:r w:rsidR="00932F6C">
          <w:rPr>
            <w:rFonts w:ascii="Calibri"/>
          </w:rPr>
          <w:t>6</w:t>
        </w:r>
      </w:hyperlink>
    </w:p>
    <w:p w14:paraId="2B62CB2D" w14:textId="77777777" w:rsidR="005C02D7" w:rsidRDefault="00054E13">
      <w:pPr>
        <w:pStyle w:val="ListParagraph"/>
        <w:numPr>
          <w:ilvl w:val="0"/>
          <w:numId w:val="2"/>
        </w:numPr>
        <w:tabs>
          <w:tab w:val="left" w:pos="674"/>
          <w:tab w:val="left" w:leader="dot" w:pos="10798"/>
        </w:tabs>
        <w:spacing w:before="122"/>
        <w:ind w:left="673"/>
        <w:rPr>
          <w:rFonts w:ascii="Calibri" w:hAnsi="Calibri"/>
        </w:rPr>
      </w:pPr>
      <w:hyperlink w:anchor="_bookmark29" w:history="1">
        <w:r w:rsidR="00932F6C">
          <w:rPr>
            <w:rFonts w:ascii="Calibri" w:hAnsi="Calibri"/>
            <w:b/>
          </w:rPr>
          <w:t>What if it doesn’t work? Will there be an opportunity to refine the</w:t>
        </w:r>
        <w:r w:rsidR="00932F6C">
          <w:rPr>
            <w:rFonts w:ascii="Calibri" w:hAnsi="Calibri"/>
            <w:b/>
            <w:spacing w:val="-27"/>
          </w:rPr>
          <w:t xml:space="preserve"> </w:t>
        </w:r>
        <w:r w:rsidR="00932F6C">
          <w:rPr>
            <w:rFonts w:ascii="Calibri" w:hAnsi="Calibri"/>
            <w:b/>
          </w:rPr>
          <w:t>funding</w:t>
        </w:r>
        <w:r w:rsidR="00932F6C">
          <w:rPr>
            <w:rFonts w:ascii="Calibri" w:hAnsi="Calibri"/>
            <w:b/>
            <w:spacing w:val="-1"/>
          </w:rPr>
          <w:t xml:space="preserve"> </w:t>
        </w:r>
        <w:r w:rsidR="00932F6C">
          <w:rPr>
            <w:rFonts w:ascii="Calibri" w:hAnsi="Calibri"/>
            <w:b/>
          </w:rPr>
          <w:t>formula?</w:t>
        </w:r>
        <w:r w:rsidR="00932F6C">
          <w:rPr>
            <w:rFonts w:ascii="Calibri" w:hAnsi="Calibri"/>
            <w:b/>
          </w:rPr>
          <w:tab/>
        </w:r>
        <w:r w:rsidR="00932F6C">
          <w:rPr>
            <w:rFonts w:ascii="Calibri" w:hAnsi="Calibri"/>
          </w:rPr>
          <w:t>6</w:t>
        </w:r>
      </w:hyperlink>
    </w:p>
    <w:p w14:paraId="2B62CB2E" w14:textId="77777777" w:rsidR="005C02D7" w:rsidRDefault="00054E13">
      <w:pPr>
        <w:pStyle w:val="ListParagraph"/>
        <w:numPr>
          <w:ilvl w:val="0"/>
          <w:numId w:val="2"/>
        </w:numPr>
        <w:tabs>
          <w:tab w:val="left" w:pos="674"/>
          <w:tab w:val="left" w:leader="dot" w:pos="10798"/>
        </w:tabs>
        <w:spacing w:before="123" w:line="256" w:lineRule="auto"/>
        <w:ind w:left="339" w:right="127" w:firstLine="0"/>
        <w:rPr>
          <w:rFonts w:ascii="Calibri"/>
        </w:rPr>
      </w:pPr>
      <w:hyperlink w:anchor="_bookmark30" w:history="1">
        <w:r w:rsidR="00932F6C">
          <w:rPr>
            <w:rFonts w:ascii="Calibri"/>
            <w:b/>
          </w:rPr>
          <w:t>How will the effects of the new funding formula be monitored? Will there be any opportunity to modify metrics</w:t>
        </w:r>
      </w:hyperlink>
      <w:hyperlink w:anchor="_bookmark30" w:history="1">
        <w:r w:rsidR="00932F6C">
          <w:rPr>
            <w:rFonts w:ascii="Calibri"/>
            <w:b/>
          </w:rPr>
          <w:t xml:space="preserve"> and their weights in the</w:t>
        </w:r>
        <w:r w:rsidR="00932F6C">
          <w:rPr>
            <w:rFonts w:ascii="Calibri"/>
            <w:b/>
            <w:spacing w:val="-7"/>
          </w:rPr>
          <w:t xml:space="preserve"> </w:t>
        </w:r>
        <w:r w:rsidR="00932F6C">
          <w:rPr>
            <w:rFonts w:ascii="Calibri"/>
            <w:b/>
          </w:rPr>
          <w:t>coming</w:t>
        </w:r>
        <w:r w:rsidR="00932F6C">
          <w:rPr>
            <w:rFonts w:ascii="Calibri"/>
            <w:b/>
            <w:spacing w:val="-1"/>
          </w:rPr>
          <w:t xml:space="preserve"> </w:t>
        </w:r>
        <w:r w:rsidR="00932F6C">
          <w:rPr>
            <w:rFonts w:ascii="Calibri"/>
            <w:b/>
          </w:rPr>
          <w:t>years?</w:t>
        </w:r>
        <w:r w:rsidR="00932F6C">
          <w:rPr>
            <w:rFonts w:ascii="Calibri"/>
            <w:b/>
          </w:rPr>
          <w:tab/>
        </w:r>
        <w:r w:rsidR="00932F6C">
          <w:rPr>
            <w:rFonts w:ascii="Calibri"/>
            <w:spacing w:val="-17"/>
          </w:rPr>
          <w:t>6</w:t>
        </w:r>
      </w:hyperlink>
    </w:p>
    <w:p w14:paraId="2B62CB2F" w14:textId="01208447" w:rsidR="005C02D7" w:rsidRDefault="00932F6C">
      <w:pPr>
        <w:pStyle w:val="Heading2"/>
        <w:spacing w:before="849"/>
      </w:pPr>
      <w:bookmarkStart w:id="1" w:name="General"/>
      <w:bookmarkStart w:id="2" w:name="_bookmark0"/>
      <w:bookmarkEnd w:id="1"/>
      <w:bookmarkEnd w:id="2"/>
      <w:r>
        <w:rPr>
          <w:color w:val="44546A"/>
        </w:rPr>
        <w:t>General</w:t>
      </w:r>
    </w:p>
    <w:p w14:paraId="2B62CB30" w14:textId="77777777" w:rsidR="005C02D7" w:rsidRDefault="00932F6C">
      <w:pPr>
        <w:pStyle w:val="Heading3"/>
        <w:numPr>
          <w:ilvl w:val="0"/>
          <w:numId w:val="1"/>
        </w:numPr>
        <w:tabs>
          <w:tab w:val="left" w:pos="351"/>
        </w:tabs>
        <w:spacing w:before="61"/>
        <w:ind w:hanging="230"/>
      </w:pPr>
      <w:bookmarkStart w:id="3" w:name="1._What_is_the_Student_Centered_Funding_"/>
      <w:bookmarkStart w:id="4" w:name="_bookmark1"/>
      <w:bookmarkEnd w:id="3"/>
      <w:bookmarkEnd w:id="4"/>
      <w:r>
        <w:rPr>
          <w:color w:val="2F5496"/>
          <w:spacing w:val="-3"/>
        </w:rPr>
        <w:t xml:space="preserve">What </w:t>
      </w:r>
      <w:r>
        <w:rPr>
          <w:color w:val="2F5496"/>
        </w:rPr>
        <w:t xml:space="preserve">is the </w:t>
      </w:r>
      <w:r>
        <w:rPr>
          <w:color w:val="2F5496"/>
          <w:spacing w:val="-3"/>
        </w:rPr>
        <w:t xml:space="preserve">Student </w:t>
      </w:r>
      <w:r>
        <w:rPr>
          <w:color w:val="2F5496"/>
        </w:rPr>
        <w:t>Centered Funding Formula</w:t>
      </w:r>
      <w:r>
        <w:rPr>
          <w:color w:val="2F5496"/>
          <w:spacing w:val="-29"/>
        </w:rPr>
        <w:t xml:space="preserve"> </w:t>
      </w:r>
      <w:r>
        <w:rPr>
          <w:color w:val="2F5496"/>
          <w:spacing w:val="-3"/>
        </w:rPr>
        <w:t>(SCFF)?</w:t>
      </w:r>
    </w:p>
    <w:p w14:paraId="2B62CB31" w14:textId="77777777" w:rsidR="005C02D7" w:rsidRDefault="00932F6C">
      <w:pPr>
        <w:pStyle w:val="BodyText"/>
        <w:spacing w:line="259" w:lineRule="auto"/>
        <w:ind w:right="232"/>
      </w:pPr>
      <w:r>
        <w:t>The SCFF adopted in the 2018-19 state budget is a new way to allocate funding to community college districts. The funding formula supports access through enrollment-based funding, student equity by targeting funds to districts serving low-income students, and student success by providing districts with additional resources for student’s successful outcomes. The SCFF was established in the 2018-19 budget bill and details can be found in Assembly Bill 1809 and as summarized by the Governor in his annual budget.</w:t>
      </w:r>
    </w:p>
    <w:p w14:paraId="2B62CB32" w14:textId="77777777" w:rsidR="005C02D7" w:rsidRDefault="00932F6C">
      <w:pPr>
        <w:pStyle w:val="Heading3"/>
        <w:numPr>
          <w:ilvl w:val="0"/>
          <w:numId w:val="1"/>
        </w:numPr>
        <w:tabs>
          <w:tab w:val="left" w:pos="351"/>
        </w:tabs>
        <w:spacing w:before="160"/>
        <w:ind w:hanging="230"/>
      </w:pPr>
      <w:bookmarkStart w:id="5" w:name="2._What_is_the_purpose_of_changing_the_f"/>
      <w:bookmarkStart w:id="6" w:name="_bookmark2"/>
      <w:bookmarkEnd w:id="5"/>
      <w:bookmarkEnd w:id="6"/>
      <w:r>
        <w:rPr>
          <w:color w:val="2F5496"/>
          <w:spacing w:val="-3"/>
        </w:rPr>
        <w:t>What</w:t>
      </w:r>
      <w:r>
        <w:rPr>
          <w:color w:val="2F5496"/>
          <w:spacing w:val="-4"/>
        </w:rPr>
        <w:t xml:space="preserve"> </w:t>
      </w:r>
      <w:r>
        <w:rPr>
          <w:color w:val="2F5496"/>
        </w:rPr>
        <w:t>is</w:t>
      </w:r>
      <w:r>
        <w:rPr>
          <w:color w:val="2F5496"/>
          <w:spacing w:val="-7"/>
        </w:rPr>
        <w:t xml:space="preserve"> </w:t>
      </w:r>
      <w:r>
        <w:rPr>
          <w:color w:val="2F5496"/>
        </w:rPr>
        <w:t>the</w:t>
      </w:r>
      <w:r>
        <w:rPr>
          <w:color w:val="2F5496"/>
          <w:spacing w:val="-4"/>
        </w:rPr>
        <w:t xml:space="preserve"> </w:t>
      </w:r>
      <w:r>
        <w:rPr>
          <w:color w:val="2F5496"/>
          <w:spacing w:val="-3"/>
        </w:rPr>
        <w:t>purpose</w:t>
      </w:r>
      <w:r>
        <w:rPr>
          <w:color w:val="2F5496"/>
          <w:spacing w:val="-4"/>
        </w:rPr>
        <w:t xml:space="preserve"> </w:t>
      </w:r>
      <w:r>
        <w:rPr>
          <w:color w:val="2F5496"/>
        </w:rPr>
        <w:t>of</w:t>
      </w:r>
      <w:r>
        <w:rPr>
          <w:color w:val="2F5496"/>
          <w:spacing w:val="-5"/>
        </w:rPr>
        <w:t xml:space="preserve"> </w:t>
      </w:r>
      <w:r>
        <w:rPr>
          <w:color w:val="2F5496"/>
        </w:rPr>
        <w:t>changing</w:t>
      </w:r>
      <w:r>
        <w:rPr>
          <w:color w:val="2F5496"/>
          <w:spacing w:val="-8"/>
        </w:rPr>
        <w:t xml:space="preserve"> </w:t>
      </w:r>
      <w:r>
        <w:rPr>
          <w:color w:val="2F5496"/>
        </w:rPr>
        <w:t>the</w:t>
      </w:r>
      <w:r>
        <w:rPr>
          <w:color w:val="2F5496"/>
          <w:spacing w:val="-6"/>
        </w:rPr>
        <w:t xml:space="preserve"> </w:t>
      </w:r>
      <w:r>
        <w:rPr>
          <w:color w:val="2F5496"/>
        </w:rPr>
        <w:t>funding</w:t>
      </w:r>
      <w:r>
        <w:rPr>
          <w:color w:val="2F5496"/>
          <w:spacing w:val="-7"/>
        </w:rPr>
        <w:t xml:space="preserve"> </w:t>
      </w:r>
      <w:r>
        <w:rPr>
          <w:color w:val="2F5496"/>
          <w:spacing w:val="-3"/>
        </w:rPr>
        <w:t>formula?</w:t>
      </w:r>
      <w:r>
        <w:rPr>
          <w:color w:val="2F5496"/>
          <w:spacing w:val="-4"/>
        </w:rPr>
        <w:t xml:space="preserve"> </w:t>
      </w:r>
      <w:r>
        <w:rPr>
          <w:color w:val="2F5496"/>
        </w:rPr>
        <w:t>How</w:t>
      </w:r>
      <w:r>
        <w:rPr>
          <w:color w:val="2F5496"/>
          <w:spacing w:val="-7"/>
        </w:rPr>
        <w:t xml:space="preserve"> </w:t>
      </w:r>
      <w:r>
        <w:rPr>
          <w:color w:val="2F5496"/>
        </w:rPr>
        <w:t>will</w:t>
      </w:r>
      <w:r>
        <w:rPr>
          <w:color w:val="2F5496"/>
          <w:spacing w:val="-3"/>
        </w:rPr>
        <w:t xml:space="preserve"> </w:t>
      </w:r>
      <w:r>
        <w:rPr>
          <w:color w:val="2F5496"/>
        </w:rPr>
        <w:t>the</w:t>
      </w:r>
      <w:r>
        <w:rPr>
          <w:color w:val="2F5496"/>
          <w:spacing w:val="-5"/>
        </w:rPr>
        <w:t xml:space="preserve"> </w:t>
      </w:r>
      <w:r>
        <w:rPr>
          <w:color w:val="2F5496"/>
        </w:rPr>
        <w:t>new</w:t>
      </w:r>
      <w:r>
        <w:rPr>
          <w:color w:val="2F5496"/>
          <w:spacing w:val="-8"/>
        </w:rPr>
        <w:t xml:space="preserve"> </w:t>
      </w:r>
      <w:r>
        <w:rPr>
          <w:color w:val="2F5496"/>
          <w:spacing w:val="-3"/>
        </w:rPr>
        <w:t>funding</w:t>
      </w:r>
      <w:r>
        <w:rPr>
          <w:color w:val="2F5496"/>
          <w:spacing w:val="-5"/>
        </w:rPr>
        <w:t xml:space="preserve"> </w:t>
      </w:r>
      <w:r>
        <w:rPr>
          <w:color w:val="2F5496"/>
          <w:spacing w:val="-3"/>
        </w:rPr>
        <w:t xml:space="preserve">formula </w:t>
      </w:r>
      <w:r>
        <w:rPr>
          <w:color w:val="2F5496"/>
        </w:rPr>
        <w:t>help</w:t>
      </w:r>
      <w:r>
        <w:rPr>
          <w:color w:val="2F5496"/>
          <w:spacing w:val="-5"/>
        </w:rPr>
        <w:t xml:space="preserve"> </w:t>
      </w:r>
      <w:r>
        <w:rPr>
          <w:color w:val="2F5496"/>
          <w:spacing w:val="-3"/>
        </w:rPr>
        <w:t>students?</w:t>
      </w:r>
    </w:p>
    <w:p w14:paraId="2B62CB33" w14:textId="77777777" w:rsidR="005C02D7" w:rsidRDefault="00932F6C">
      <w:pPr>
        <w:pStyle w:val="BodyText"/>
        <w:ind w:right="169"/>
      </w:pPr>
      <w:r>
        <w:t>The California Community College System has a diverse student body and has a mission that includes reducing equity gaps, providing educational access and opportunity, and strengthening the state’s economy. The system has continued to face challenges in helping students reach their educational goals in an efficient and equitable manner and older and working adults are often left behind. The objective of the new funding formula is to mitigate these challenges through a system that focuses on rewarding equity and success in addition to access. The new funding formula will help students by prioritizing their success and specifically by targeting access and success for disadvantaged students.</w:t>
      </w:r>
    </w:p>
    <w:p w14:paraId="2B62CB34" w14:textId="77777777" w:rsidR="005C02D7" w:rsidRDefault="00932F6C">
      <w:pPr>
        <w:pStyle w:val="ListParagraph"/>
        <w:numPr>
          <w:ilvl w:val="0"/>
          <w:numId w:val="1"/>
        </w:numPr>
        <w:tabs>
          <w:tab w:val="left" w:pos="351"/>
        </w:tabs>
        <w:spacing w:before="150" w:line="304" w:lineRule="exact"/>
        <w:ind w:hanging="230"/>
        <w:rPr>
          <w:sz w:val="24"/>
        </w:rPr>
      </w:pPr>
      <w:bookmarkStart w:id="7" w:name="3._How_is_the_new_funding_formula_aligne"/>
      <w:bookmarkStart w:id="8" w:name="_bookmark3"/>
      <w:bookmarkEnd w:id="7"/>
      <w:bookmarkEnd w:id="8"/>
      <w:r>
        <w:rPr>
          <w:color w:val="2F5496"/>
          <w:sz w:val="24"/>
        </w:rPr>
        <w:t>How</w:t>
      </w:r>
      <w:r>
        <w:rPr>
          <w:color w:val="2F5496"/>
          <w:spacing w:val="-5"/>
          <w:sz w:val="24"/>
        </w:rPr>
        <w:t xml:space="preserve"> </w:t>
      </w:r>
      <w:r>
        <w:rPr>
          <w:color w:val="2F5496"/>
          <w:sz w:val="24"/>
        </w:rPr>
        <w:t>is</w:t>
      </w:r>
      <w:r>
        <w:rPr>
          <w:color w:val="2F5496"/>
          <w:spacing w:val="-5"/>
          <w:sz w:val="24"/>
        </w:rPr>
        <w:t xml:space="preserve"> </w:t>
      </w:r>
      <w:r>
        <w:rPr>
          <w:color w:val="2F5496"/>
          <w:sz w:val="24"/>
        </w:rPr>
        <w:t>the</w:t>
      </w:r>
      <w:r>
        <w:rPr>
          <w:color w:val="2F5496"/>
          <w:spacing w:val="-4"/>
          <w:sz w:val="24"/>
        </w:rPr>
        <w:t xml:space="preserve"> </w:t>
      </w:r>
      <w:r>
        <w:rPr>
          <w:color w:val="2F5496"/>
          <w:sz w:val="24"/>
        </w:rPr>
        <w:t>new</w:t>
      </w:r>
      <w:r>
        <w:rPr>
          <w:color w:val="2F5496"/>
          <w:spacing w:val="-8"/>
          <w:sz w:val="24"/>
        </w:rPr>
        <w:t xml:space="preserve"> </w:t>
      </w:r>
      <w:r>
        <w:rPr>
          <w:color w:val="2F5496"/>
          <w:spacing w:val="-3"/>
          <w:sz w:val="24"/>
        </w:rPr>
        <w:t>funding</w:t>
      </w:r>
      <w:r>
        <w:rPr>
          <w:color w:val="2F5496"/>
          <w:spacing w:val="-5"/>
          <w:sz w:val="24"/>
        </w:rPr>
        <w:t xml:space="preserve"> </w:t>
      </w:r>
      <w:r>
        <w:rPr>
          <w:color w:val="2F5496"/>
          <w:sz w:val="24"/>
        </w:rPr>
        <w:t>formula</w:t>
      </w:r>
      <w:r>
        <w:rPr>
          <w:color w:val="2F5496"/>
          <w:spacing w:val="-6"/>
          <w:sz w:val="24"/>
        </w:rPr>
        <w:t xml:space="preserve"> </w:t>
      </w:r>
      <w:r>
        <w:rPr>
          <w:color w:val="2F5496"/>
          <w:sz w:val="24"/>
        </w:rPr>
        <w:t>aligned</w:t>
      </w:r>
      <w:r>
        <w:rPr>
          <w:color w:val="2F5496"/>
          <w:spacing w:val="-5"/>
          <w:sz w:val="24"/>
        </w:rPr>
        <w:t xml:space="preserve"> </w:t>
      </w:r>
      <w:r>
        <w:rPr>
          <w:color w:val="2F5496"/>
          <w:sz w:val="24"/>
        </w:rPr>
        <w:t>with</w:t>
      </w:r>
      <w:r>
        <w:rPr>
          <w:color w:val="2F5496"/>
          <w:spacing w:val="-8"/>
          <w:sz w:val="24"/>
        </w:rPr>
        <w:t xml:space="preserve"> </w:t>
      </w:r>
      <w:r>
        <w:rPr>
          <w:color w:val="2F5496"/>
          <w:sz w:val="24"/>
        </w:rPr>
        <w:t>the</w:t>
      </w:r>
      <w:r>
        <w:rPr>
          <w:color w:val="2F5496"/>
          <w:spacing w:val="-4"/>
          <w:sz w:val="24"/>
        </w:rPr>
        <w:t xml:space="preserve"> </w:t>
      </w:r>
      <w:r>
        <w:rPr>
          <w:i/>
          <w:color w:val="2F5496"/>
          <w:spacing w:val="-3"/>
          <w:sz w:val="25"/>
        </w:rPr>
        <w:t>Vision</w:t>
      </w:r>
      <w:r>
        <w:rPr>
          <w:i/>
          <w:color w:val="2F5496"/>
          <w:spacing w:val="-12"/>
          <w:sz w:val="25"/>
        </w:rPr>
        <w:t xml:space="preserve"> </w:t>
      </w:r>
      <w:r>
        <w:rPr>
          <w:i/>
          <w:color w:val="2F5496"/>
          <w:sz w:val="25"/>
        </w:rPr>
        <w:t>for</w:t>
      </w:r>
      <w:r>
        <w:rPr>
          <w:i/>
          <w:color w:val="2F5496"/>
          <w:spacing w:val="-9"/>
          <w:sz w:val="25"/>
        </w:rPr>
        <w:t xml:space="preserve"> </w:t>
      </w:r>
      <w:r>
        <w:rPr>
          <w:i/>
          <w:color w:val="2F5496"/>
          <w:spacing w:val="-4"/>
          <w:sz w:val="25"/>
        </w:rPr>
        <w:t>Success</w:t>
      </w:r>
      <w:r>
        <w:rPr>
          <w:color w:val="2F5496"/>
          <w:spacing w:val="-4"/>
          <w:sz w:val="24"/>
        </w:rPr>
        <w:t>?</w:t>
      </w:r>
    </w:p>
    <w:p w14:paraId="2B62CB35" w14:textId="77777777" w:rsidR="005C02D7" w:rsidRDefault="00932F6C">
      <w:pPr>
        <w:pStyle w:val="BodyText"/>
        <w:ind w:right="131"/>
      </w:pPr>
      <w:r>
        <w:t xml:space="preserve">The </w:t>
      </w:r>
      <w:r>
        <w:rPr>
          <w:i/>
        </w:rPr>
        <w:t xml:space="preserve">Vision for Success </w:t>
      </w:r>
      <w:r>
        <w:t xml:space="preserve">includes the goal of closing achievement gaps for historically underrepresented students, which the SCFF addresses by not only providing additional funding for districts to enroll low-income students but also ensuring those students succeed. Language in the new funding formula calls on districts to set performance goals that align with the system-wide goals established in the </w:t>
      </w:r>
      <w:r>
        <w:rPr>
          <w:i/>
        </w:rPr>
        <w:t xml:space="preserve">Vision for Success </w:t>
      </w:r>
      <w:r>
        <w:t xml:space="preserve">ensuring that the colleges are aligning local goals with the equity and success metrics outlined in the </w:t>
      </w:r>
      <w:r>
        <w:rPr>
          <w:i/>
        </w:rPr>
        <w:t>Vision for Success</w:t>
      </w:r>
      <w:r>
        <w:t>.</w:t>
      </w:r>
    </w:p>
    <w:p w14:paraId="2B62CB36" w14:textId="77777777" w:rsidR="005C02D7" w:rsidRDefault="00932F6C">
      <w:pPr>
        <w:pStyle w:val="Heading3"/>
        <w:numPr>
          <w:ilvl w:val="0"/>
          <w:numId w:val="1"/>
        </w:numPr>
        <w:tabs>
          <w:tab w:val="left" w:pos="351"/>
        </w:tabs>
        <w:ind w:hanging="230"/>
      </w:pPr>
      <w:bookmarkStart w:id="9" w:name="4._What_is_the_timeline_for_implementing"/>
      <w:bookmarkStart w:id="10" w:name="_bookmark4"/>
      <w:bookmarkEnd w:id="9"/>
      <w:bookmarkEnd w:id="10"/>
      <w:r>
        <w:rPr>
          <w:color w:val="2F5496"/>
          <w:spacing w:val="-3"/>
        </w:rPr>
        <w:t xml:space="preserve">What </w:t>
      </w:r>
      <w:r>
        <w:rPr>
          <w:color w:val="2F5496"/>
        </w:rPr>
        <w:t xml:space="preserve">is the timeline for </w:t>
      </w:r>
      <w:r>
        <w:rPr>
          <w:color w:val="2F5496"/>
          <w:spacing w:val="-3"/>
        </w:rPr>
        <w:t xml:space="preserve">implementing </w:t>
      </w:r>
      <w:r>
        <w:rPr>
          <w:color w:val="2F5496"/>
        </w:rPr>
        <w:t xml:space="preserve">the new </w:t>
      </w:r>
      <w:r>
        <w:rPr>
          <w:color w:val="2F5496"/>
          <w:spacing w:val="-3"/>
        </w:rPr>
        <w:t>funding</w:t>
      </w:r>
      <w:r>
        <w:rPr>
          <w:color w:val="2F5496"/>
          <w:spacing w:val="-34"/>
        </w:rPr>
        <w:t xml:space="preserve"> </w:t>
      </w:r>
      <w:r>
        <w:rPr>
          <w:color w:val="2F5496"/>
          <w:spacing w:val="-3"/>
        </w:rPr>
        <w:t>formula?</w:t>
      </w:r>
    </w:p>
    <w:p w14:paraId="2B62CB37" w14:textId="77777777" w:rsidR="005C02D7" w:rsidRDefault="00932F6C">
      <w:pPr>
        <w:pStyle w:val="BodyText"/>
        <w:ind w:right="142"/>
      </w:pPr>
      <w:r>
        <w:t>The new funding formula has a three-year phased in approach. In 2018-19, approximately 70% of systemwide funding will be based on enrollment, approximately 20% will be based on enrollment of low-income students, and approximately 10% will be based on successful student outcomes. In 2019-20 those percentages shift to a 65-20-15 split and, in 2020-21, are completely phased in with a 60-20-20 split.</w:t>
      </w:r>
    </w:p>
    <w:p w14:paraId="2B62CB38" w14:textId="77777777" w:rsidR="005C02D7" w:rsidRDefault="005C02D7">
      <w:pPr>
        <w:sectPr w:rsidR="005C02D7">
          <w:headerReference w:type="default" r:id="rId11"/>
          <w:footerReference w:type="default" r:id="rId12"/>
          <w:pgSz w:w="12240" w:h="15840"/>
          <w:pgMar w:top="1140" w:right="600" w:bottom="540" w:left="600" w:header="311" w:footer="354" w:gutter="0"/>
          <w:pgNumType w:start="2"/>
          <w:cols w:space="720"/>
        </w:sectPr>
      </w:pPr>
    </w:p>
    <w:p w14:paraId="2B62CB39" w14:textId="77777777" w:rsidR="005C02D7" w:rsidRDefault="005C02D7">
      <w:pPr>
        <w:pStyle w:val="BodyText"/>
        <w:spacing w:before="6"/>
        <w:ind w:left="0"/>
        <w:rPr>
          <w:sz w:val="15"/>
        </w:rPr>
      </w:pPr>
    </w:p>
    <w:p w14:paraId="2B62CB3A" w14:textId="383A2649" w:rsidR="005C02D7" w:rsidRDefault="00932F6C">
      <w:pPr>
        <w:pStyle w:val="Heading2"/>
        <w:spacing w:before="35"/>
      </w:pPr>
      <w:bookmarkStart w:id="11" w:name="Formula_Design"/>
      <w:bookmarkStart w:id="12" w:name="_bookmark5"/>
      <w:bookmarkEnd w:id="11"/>
      <w:bookmarkEnd w:id="12"/>
      <w:r>
        <w:rPr>
          <w:color w:val="44546A"/>
        </w:rPr>
        <w:t>Formula Design</w:t>
      </w:r>
    </w:p>
    <w:p w14:paraId="2B62CB3B" w14:textId="77777777" w:rsidR="005C02D7" w:rsidRDefault="00932F6C">
      <w:pPr>
        <w:pStyle w:val="Heading3"/>
        <w:numPr>
          <w:ilvl w:val="0"/>
          <w:numId w:val="1"/>
        </w:numPr>
        <w:tabs>
          <w:tab w:val="left" w:pos="351"/>
        </w:tabs>
        <w:spacing w:before="61"/>
        <w:ind w:hanging="230"/>
      </w:pPr>
      <w:bookmarkStart w:id="13" w:name="5._How_is_the_new_funding_formula_differ"/>
      <w:bookmarkStart w:id="14" w:name="_bookmark6"/>
      <w:bookmarkEnd w:id="13"/>
      <w:bookmarkEnd w:id="14"/>
      <w:r>
        <w:rPr>
          <w:color w:val="2F5496"/>
        </w:rPr>
        <w:t>How</w:t>
      </w:r>
      <w:r>
        <w:rPr>
          <w:color w:val="2F5496"/>
          <w:spacing w:val="-5"/>
        </w:rPr>
        <w:t xml:space="preserve"> </w:t>
      </w:r>
      <w:r>
        <w:rPr>
          <w:color w:val="2F5496"/>
        </w:rPr>
        <w:t>is</w:t>
      </w:r>
      <w:r>
        <w:rPr>
          <w:color w:val="2F5496"/>
          <w:spacing w:val="-5"/>
        </w:rPr>
        <w:t xml:space="preserve"> </w:t>
      </w:r>
      <w:r>
        <w:rPr>
          <w:color w:val="2F5496"/>
        </w:rPr>
        <w:t>the</w:t>
      </w:r>
      <w:r>
        <w:rPr>
          <w:color w:val="2F5496"/>
          <w:spacing w:val="-4"/>
        </w:rPr>
        <w:t xml:space="preserve"> </w:t>
      </w:r>
      <w:r>
        <w:rPr>
          <w:color w:val="2F5496"/>
        </w:rPr>
        <w:t>new</w:t>
      </w:r>
      <w:r>
        <w:rPr>
          <w:color w:val="2F5496"/>
          <w:spacing w:val="-7"/>
        </w:rPr>
        <w:t xml:space="preserve"> </w:t>
      </w:r>
      <w:r>
        <w:rPr>
          <w:color w:val="2F5496"/>
          <w:spacing w:val="-3"/>
        </w:rPr>
        <w:t>funding</w:t>
      </w:r>
      <w:r>
        <w:rPr>
          <w:color w:val="2F5496"/>
          <w:spacing w:val="-5"/>
        </w:rPr>
        <w:t xml:space="preserve"> </w:t>
      </w:r>
      <w:r>
        <w:rPr>
          <w:color w:val="2F5496"/>
        </w:rPr>
        <w:t>formula</w:t>
      </w:r>
      <w:r>
        <w:rPr>
          <w:color w:val="2F5496"/>
          <w:spacing w:val="-3"/>
        </w:rPr>
        <w:t xml:space="preserve"> </w:t>
      </w:r>
      <w:r>
        <w:rPr>
          <w:color w:val="2F5496"/>
        </w:rPr>
        <w:t>different</w:t>
      </w:r>
      <w:r>
        <w:rPr>
          <w:color w:val="2F5496"/>
          <w:spacing w:val="-4"/>
        </w:rPr>
        <w:t xml:space="preserve"> </w:t>
      </w:r>
      <w:r>
        <w:rPr>
          <w:color w:val="2F5496"/>
        </w:rPr>
        <w:t>from</w:t>
      </w:r>
      <w:r>
        <w:rPr>
          <w:color w:val="2F5496"/>
          <w:spacing w:val="-8"/>
        </w:rPr>
        <w:t xml:space="preserve"> </w:t>
      </w:r>
      <w:r>
        <w:rPr>
          <w:color w:val="2F5496"/>
        </w:rPr>
        <w:t>the</w:t>
      </w:r>
      <w:r>
        <w:rPr>
          <w:color w:val="2F5496"/>
          <w:spacing w:val="-4"/>
        </w:rPr>
        <w:t xml:space="preserve"> </w:t>
      </w:r>
      <w:r>
        <w:rPr>
          <w:color w:val="2F5496"/>
          <w:spacing w:val="-3"/>
        </w:rPr>
        <w:t>current</w:t>
      </w:r>
      <w:r>
        <w:rPr>
          <w:color w:val="2F5496"/>
          <w:spacing w:val="-4"/>
        </w:rPr>
        <w:t xml:space="preserve"> </w:t>
      </w:r>
      <w:r>
        <w:rPr>
          <w:color w:val="2F5496"/>
        </w:rPr>
        <w:t>funding</w:t>
      </w:r>
      <w:r>
        <w:rPr>
          <w:color w:val="2F5496"/>
          <w:spacing w:val="-5"/>
        </w:rPr>
        <w:t xml:space="preserve"> </w:t>
      </w:r>
      <w:r>
        <w:rPr>
          <w:color w:val="2F5496"/>
          <w:spacing w:val="-3"/>
        </w:rPr>
        <w:t>formula?</w:t>
      </w:r>
    </w:p>
    <w:p w14:paraId="2B62CB3C" w14:textId="77777777" w:rsidR="005C02D7" w:rsidRDefault="00932F6C">
      <w:pPr>
        <w:pStyle w:val="BodyText"/>
        <w:ind w:right="248"/>
      </w:pPr>
      <w:r>
        <w:t>The prior funding formula was based predominantly on enrollment while the new funding formula has a three-pronged focus: Access, Equity, and Success. The new funding formula still supports Access through enrollment-based funding, but also supports Equity and Success through additional allocations.</w:t>
      </w:r>
    </w:p>
    <w:p w14:paraId="2B62CB3D" w14:textId="77777777" w:rsidR="005C02D7" w:rsidRDefault="00932F6C">
      <w:pPr>
        <w:pStyle w:val="Heading3"/>
        <w:numPr>
          <w:ilvl w:val="0"/>
          <w:numId w:val="1"/>
        </w:numPr>
        <w:tabs>
          <w:tab w:val="left" w:pos="351"/>
        </w:tabs>
        <w:ind w:hanging="230"/>
      </w:pPr>
      <w:bookmarkStart w:id="15" w:name="6._What_are_the_components_of_the_new_fu"/>
      <w:bookmarkStart w:id="16" w:name="_bookmark7"/>
      <w:bookmarkEnd w:id="15"/>
      <w:bookmarkEnd w:id="16"/>
      <w:r>
        <w:rPr>
          <w:color w:val="2F5496"/>
          <w:spacing w:val="-3"/>
        </w:rPr>
        <w:t xml:space="preserve">What </w:t>
      </w:r>
      <w:r>
        <w:rPr>
          <w:color w:val="2F5496"/>
        </w:rPr>
        <w:t xml:space="preserve">are the </w:t>
      </w:r>
      <w:r>
        <w:rPr>
          <w:color w:val="2F5496"/>
          <w:spacing w:val="-3"/>
        </w:rPr>
        <w:t xml:space="preserve">components </w:t>
      </w:r>
      <w:r>
        <w:rPr>
          <w:color w:val="2F5496"/>
        </w:rPr>
        <w:t xml:space="preserve">of the </w:t>
      </w:r>
      <w:r>
        <w:rPr>
          <w:color w:val="2F5496"/>
          <w:spacing w:val="-3"/>
        </w:rPr>
        <w:t>new funding</w:t>
      </w:r>
      <w:r>
        <w:rPr>
          <w:color w:val="2F5496"/>
          <w:spacing w:val="-22"/>
        </w:rPr>
        <w:t xml:space="preserve"> </w:t>
      </w:r>
      <w:r>
        <w:rPr>
          <w:color w:val="2F5496"/>
          <w:spacing w:val="-3"/>
        </w:rPr>
        <w:t>formula?</w:t>
      </w:r>
    </w:p>
    <w:p w14:paraId="2B62CB3E" w14:textId="77777777" w:rsidR="005C02D7" w:rsidRDefault="00932F6C">
      <w:pPr>
        <w:pStyle w:val="BodyText"/>
        <w:ind w:right="263"/>
      </w:pPr>
      <w:r>
        <w:t>There are three major components. First, the Base Allocation, which focuses on overall access is determined by overall district enrollments and district size. Second, the Supplemental Allocation focuses on supporting Equity with funding determined by the number of low-income students in a district. Third, the Student Success Allocation focuses on supporting achievement of educational goals with funding determined by the number of outcomes for various measures of educational progress, transfer, completion and wage earning.</w:t>
      </w:r>
    </w:p>
    <w:p w14:paraId="2B62CB3F" w14:textId="77777777" w:rsidR="005C02D7" w:rsidRDefault="00932F6C">
      <w:pPr>
        <w:pStyle w:val="Heading3"/>
        <w:numPr>
          <w:ilvl w:val="0"/>
          <w:numId w:val="1"/>
        </w:numPr>
        <w:tabs>
          <w:tab w:val="left" w:pos="351"/>
        </w:tabs>
        <w:spacing w:before="160"/>
        <w:ind w:hanging="230"/>
      </w:pPr>
      <w:bookmarkStart w:id="17" w:name="7._How_is_per_student_funding_determined"/>
      <w:bookmarkStart w:id="18" w:name="_bookmark8"/>
      <w:bookmarkEnd w:id="17"/>
      <w:bookmarkEnd w:id="18"/>
      <w:r>
        <w:rPr>
          <w:color w:val="2F5496"/>
        </w:rPr>
        <w:t>How</w:t>
      </w:r>
      <w:r>
        <w:rPr>
          <w:color w:val="2F5496"/>
          <w:spacing w:val="-5"/>
        </w:rPr>
        <w:t xml:space="preserve"> </w:t>
      </w:r>
      <w:r>
        <w:rPr>
          <w:color w:val="2F5496"/>
        </w:rPr>
        <w:t>is</w:t>
      </w:r>
      <w:r>
        <w:rPr>
          <w:color w:val="2F5496"/>
          <w:spacing w:val="-4"/>
        </w:rPr>
        <w:t xml:space="preserve"> </w:t>
      </w:r>
      <w:r>
        <w:rPr>
          <w:color w:val="2F5496"/>
        </w:rPr>
        <w:t>per</w:t>
      </w:r>
      <w:r>
        <w:rPr>
          <w:color w:val="2F5496"/>
          <w:spacing w:val="-3"/>
        </w:rPr>
        <w:t xml:space="preserve"> student</w:t>
      </w:r>
      <w:r>
        <w:rPr>
          <w:color w:val="2F5496"/>
          <w:spacing w:val="-2"/>
        </w:rPr>
        <w:t xml:space="preserve"> </w:t>
      </w:r>
      <w:r>
        <w:rPr>
          <w:color w:val="2F5496"/>
          <w:spacing w:val="-3"/>
        </w:rPr>
        <w:t>funding</w:t>
      </w:r>
      <w:r>
        <w:rPr>
          <w:color w:val="2F5496"/>
          <w:spacing w:val="-4"/>
        </w:rPr>
        <w:t xml:space="preserve"> </w:t>
      </w:r>
      <w:r>
        <w:rPr>
          <w:color w:val="2F5496"/>
          <w:spacing w:val="-3"/>
        </w:rPr>
        <w:t>determined</w:t>
      </w:r>
      <w:r>
        <w:rPr>
          <w:color w:val="2F5496"/>
          <w:spacing w:val="-7"/>
        </w:rPr>
        <w:t xml:space="preserve"> </w:t>
      </w:r>
      <w:r>
        <w:rPr>
          <w:color w:val="2F5496"/>
        </w:rPr>
        <w:t>for</w:t>
      </w:r>
      <w:r>
        <w:rPr>
          <w:color w:val="2F5496"/>
          <w:spacing w:val="-4"/>
        </w:rPr>
        <w:t xml:space="preserve"> </w:t>
      </w:r>
      <w:r>
        <w:rPr>
          <w:color w:val="2F5496"/>
        </w:rPr>
        <w:t>each</w:t>
      </w:r>
      <w:r>
        <w:rPr>
          <w:color w:val="2F5496"/>
          <w:spacing w:val="-7"/>
        </w:rPr>
        <w:t xml:space="preserve"> </w:t>
      </w:r>
      <w:r>
        <w:rPr>
          <w:color w:val="2F5496"/>
        </w:rPr>
        <w:t>of</w:t>
      </w:r>
      <w:r>
        <w:rPr>
          <w:color w:val="2F5496"/>
          <w:spacing w:val="-4"/>
        </w:rPr>
        <w:t xml:space="preserve"> </w:t>
      </w:r>
      <w:r>
        <w:rPr>
          <w:color w:val="2F5496"/>
        </w:rPr>
        <w:t>the</w:t>
      </w:r>
      <w:r>
        <w:rPr>
          <w:color w:val="2F5496"/>
          <w:spacing w:val="-3"/>
        </w:rPr>
        <w:t xml:space="preserve"> </w:t>
      </w:r>
      <w:r>
        <w:rPr>
          <w:color w:val="2F5496"/>
        </w:rPr>
        <w:t>parts</w:t>
      </w:r>
      <w:r>
        <w:rPr>
          <w:color w:val="2F5496"/>
          <w:spacing w:val="-4"/>
        </w:rPr>
        <w:t xml:space="preserve"> </w:t>
      </w:r>
      <w:r>
        <w:rPr>
          <w:color w:val="2F5496"/>
        </w:rPr>
        <w:t>of</w:t>
      </w:r>
      <w:r>
        <w:rPr>
          <w:color w:val="2F5496"/>
          <w:spacing w:val="-4"/>
        </w:rPr>
        <w:t xml:space="preserve"> </w:t>
      </w:r>
      <w:r>
        <w:rPr>
          <w:color w:val="2F5496"/>
        </w:rPr>
        <w:t>the</w:t>
      </w:r>
      <w:r>
        <w:rPr>
          <w:color w:val="2F5496"/>
          <w:spacing w:val="-6"/>
        </w:rPr>
        <w:t xml:space="preserve"> </w:t>
      </w:r>
      <w:r>
        <w:rPr>
          <w:color w:val="2F5496"/>
          <w:spacing w:val="-3"/>
        </w:rPr>
        <w:t>funding</w:t>
      </w:r>
      <w:r>
        <w:rPr>
          <w:color w:val="2F5496"/>
          <w:spacing w:val="-5"/>
        </w:rPr>
        <w:t xml:space="preserve"> </w:t>
      </w:r>
      <w:r>
        <w:rPr>
          <w:color w:val="2F5496"/>
          <w:spacing w:val="-3"/>
        </w:rPr>
        <w:t>formula?</w:t>
      </w:r>
    </w:p>
    <w:p w14:paraId="2B62CB40" w14:textId="77777777" w:rsidR="005C02D7" w:rsidRDefault="00932F6C">
      <w:pPr>
        <w:pStyle w:val="BodyText"/>
        <w:ind w:right="167"/>
      </w:pPr>
      <w:r>
        <w:t>Each component in the funding formula has an associated dollar rate. These rates were determined by calculating the total dollars available for that portion of the funding formula and distributing those dollars by the total number of outcomes for that part of the funding formula. For example, the Supplemental Allocation consists of 20% of overall funding and that amount was divided by the current reported number of low-income students in the system to arrive at a rate per low-income student enrolled.</w:t>
      </w:r>
    </w:p>
    <w:p w14:paraId="2B62CB41" w14:textId="77777777" w:rsidR="005C02D7" w:rsidRDefault="00932F6C">
      <w:pPr>
        <w:pStyle w:val="Heading3"/>
        <w:numPr>
          <w:ilvl w:val="0"/>
          <w:numId w:val="1"/>
        </w:numPr>
        <w:tabs>
          <w:tab w:val="left" w:pos="351"/>
        </w:tabs>
        <w:spacing w:before="162"/>
        <w:ind w:hanging="230"/>
      </w:pPr>
      <w:bookmarkStart w:id="19" w:name="8._Which_students_are_included_in_the_Ba"/>
      <w:bookmarkStart w:id="20" w:name="_bookmark9"/>
      <w:bookmarkEnd w:id="19"/>
      <w:bookmarkEnd w:id="20"/>
      <w:r>
        <w:rPr>
          <w:color w:val="2F5496"/>
        </w:rPr>
        <w:t xml:space="preserve">Which </w:t>
      </w:r>
      <w:r>
        <w:rPr>
          <w:color w:val="2F5496"/>
          <w:spacing w:val="-3"/>
        </w:rPr>
        <w:t xml:space="preserve">students </w:t>
      </w:r>
      <w:r>
        <w:rPr>
          <w:color w:val="2F5496"/>
        </w:rPr>
        <w:t xml:space="preserve">are </w:t>
      </w:r>
      <w:r>
        <w:rPr>
          <w:color w:val="2F5496"/>
          <w:spacing w:val="-3"/>
        </w:rPr>
        <w:t xml:space="preserve">included </w:t>
      </w:r>
      <w:r>
        <w:rPr>
          <w:color w:val="2F5496"/>
        </w:rPr>
        <w:t>in the Base</w:t>
      </w:r>
      <w:r>
        <w:rPr>
          <w:color w:val="2F5496"/>
          <w:spacing w:val="-25"/>
        </w:rPr>
        <w:t xml:space="preserve"> </w:t>
      </w:r>
      <w:r>
        <w:rPr>
          <w:color w:val="2F5496"/>
        </w:rPr>
        <w:t>Allocation?</w:t>
      </w:r>
    </w:p>
    <w:p w14:paraId="2B62CB42" w14:textId="77777777" w:rsidR="005C02D7" w:rsidRDefault="00932F6C">
      <w:pPr>
        <w:pStyle w:val="BodyText"/>
        <w:ind w:right="237"/>
      </w:pPr>
      <w:r>
        <w:t>The Base Allocation is the enrollment-based component (similar to the current funding formula) and continues to take into account the number of colleges and centers in a district as well as a district’s size. While the Base Allocation includes credit students, noncredit students, Career Development and College Preparation students (CDCP), Inmates in Correctional Facilities and Special Admit students, the new funding rates only affect credit students. Noncredit Students, CDCP Students, Credit Special Admit students, and Credit Inmates in Correctional Facilities students are funded at rates set in the prior funding formula.</w:t>
      </w:r>
    </w:p>
    <w:p w14:paraId="2B62CB43" w14:textId="77777777" w:rsidR="005C02D7" w:rsidRDefault="00932F6C">
      <w:pPr>
        <w:pStyle w:val="Heading3"/>
        <w:numPr>
          <w:ilvl w:val="0"/>
          <w:numId w:val="1"/>
        </w:numPr>
        <w:tabs>
          <w:tab w:val="left" w:pos="351"/>
        </w:tabs>
        <w:ind w:hanging="230"/>
      </w:pPr>
      <w:bookmarkStart w:id="21" w:name="9._Which_students_are_counted_for_the_Su"/>
      <w:bookmarkStart w:id="22" w:name="_bookmark10"/>
      <w:bookmarkEnd w:id="21"/>
      <w:bookmarkEnd w:id="22"/>
      <w:r>
        <w:rPr>
          <w:color w:val="2F5496"/>
        </w:rPr>
        <w:t xml:space="preserve">Which </w:t>
      </w:r>
      <w:r>
        <w:rPr>
          <w:color w:val="2F5496"/>
          <w:spacing w:val="-3"/>
        </w:rPr>
        <w:t xml:space="preserve">students </w:t>
      </w:r>
      <w:r>
        <w:rPr>
          <w:color w:val="2F5496"/>
        </w:rPr>
        <w:t xml:space="preserve">are counted for the </w:t>
      </w:r>
      <w:r>
        <w:rPr>
          <w:color w:val="2F5496"/>
          <w:spacing w:val="-3"/>
        </w:rPr>
        <w:t>Supplemental</w:t>
      </w:r>
      <w:r>
        <w:rPr>
          <w:color w:val="2F5496"/>
          <w:spacing w:val="-31"/>
        </w:rPr>
        <w:t xml:space="preserve"> </w:t>
      </w:r>
      <w:r>
        <w:rPr>
          <w:color w:val="2F5496"/>
        </w:rPr>
        <w:t>Allocation?</w:t>
      </w:r>
    </w:p>
    <w:p w14:paraId="2B62CB44" w14:textId="77777777" w:rsidR="005C02D7" w:rsidRDefault="00932F6C">
      <w:pPr>
        <w:pStyle w:val="BodyText"/>
        <w:ind w:right="309"/>
      </w:pPr>
      <w:r>
        <w:t>The Supplemental Allocation includes the per district unduplicated headcounts of students receiving a Pell Grant, a California College Promise Grant and/or an AB540 waiver for the payment of nonresident tuition. The majority of AB540 students are undocumented students who have attended high school in California but are ineligible for a Pell grant because of their immigration status.</w:t>
      </w:r>
    </w:p>
    <w:p w14:paraId="2B62CB45" w14:textId="77777777" w:rsidR="005C02D7" w:rsidRDefault="00932F6C">
      <w:pPr>
        <w:pStyle w:val="Heading3"/>
        <w:numPr>
          <w:ilvl w:val="0"/>
          <w:numId w:val="1"/>
        </w:numPr>
        <w:tabs>
          <w:tab w:val="left" w:pos="471"/>
        </w:tabs>
        <w:spacing w:before="160"/>
        <w:ind w:left="470" w:hanging="350"/>
      </w:pPr>
      <w:bookmarkStart w:id="23" w:name="10._Which_outcomes_are_counted_for_the_S"/>
      <w:bookmarkStart w:id="24" w:name="_bookmark11"/>
      <w:bookmarkEnd w:id="23"/>
      <w:bookmarkEnd w:id="24"/>
      <w:r>
        <w:rPr>
          <w:color w:val="2F5496"/>
        </w:rPr>
        <w:t xml:space="preserve">Which </w:t>
      </w:r>
      <w:r>
        <w:rPr>
          <w:color w:val="2F5496"/>
          <w:spacing w:val="-3"/>
        </w:rPr>
        <w:t xml:space="preserve">outcomes </w:t>
      </w:r>
      <w:r>
        <w:rPr>
          <w:color w:val="2F5496"/>
        </w:rPr>
        <w:t xml:space="preserve">are counted for the </w:t>
      </w:r>
      <w:r>
        <w:rPr>
          <w:color w:val="2F5496"/>
          <w:spacing w:val="-3"/>
        </w:rPr>
        <w:t xml:space="preserve">Student </w:t>
      </w:r>
      <w:r>
        <w:rPr>
          <w:color w:val="2F5496"/>
        </w:rPr>
        <w:t>Success</w:t>
      </w:r>
      <w:r>
        <w:rPr>
          <w:color w:val="2F5496"/>
          <w:spacing w:val="-38"/>
        </w:rPr>
        <w:t xml:space="preserve"> </w:t>
      </w:r>
      <w:r>
        <w:rPr>
          <w:color w:val="2F5496"/>
        </w:rPr>
        <w:t>Allocation?</w:t>
      </w:r>
    </w:p>
    <w:p w14:paraId="2B62CB46" w14:textId="77777777" w:rsidR="005C02D7" w:rsidRDefault="00932F6C">
      <w:pPr>
        <w:pStyle w:val="BodyText"/>
        <w:ind w:right="117"/>
      </w:pPr>
      <w:r>
        <w:t>The Student Success Allocation includes the per district number of various student progress and outcome metrics achieved. Not all outcome metrics are weighted equally, however a student may be counted for every successful outcome or progress milestone. Outcome metrics achieved by low-income students result in additional funding. The metrics are: completion of transfer level math and English within the first academic year, completion of 9+ CTE units, Associate’s degrees, Associate’s degrees for transfer, certificates 16+ Units, transfer to a four-year institution, and attaining the regional living wage within one year of leaving community college.</w:t>
      </w:r>
    </w:p>
    <w:p w14:paraId="2B62CB47" w14:textId="77777777" w:rsidR="005C02D7" w:rsidRDefault="005C02D7">
      <w:pPr>
        <w:sectPr w:rsidR="005C02D7">
          <w:pgSz w:w="12240" w:h="15840"/>
          <w:pgMar w:top="1140" w:right="600" w:bottom="540" w:left="600" w:header="311" w:footer="354" w:gutter="0"/>
          <w:cols w:space="720"/>
        </w:sectPr>
      </w:pPr>
    </w:p>
    <w:p w14:paraId="2B62CB48" w14:textId="77777777" w:rsidR="005C02D7" w:rsidRDefault="005C02D7">
      <w:pPr>
        <w:pStyle w:val="BodyText"/>
        <w:ind w:left="0"/>
        <w:rPr>
          <w:sz w:val="14"/>
        </w:rPr>
      </w:pPr>
    </w:p>
    <w:p w14:paraId="2B62CB49" w14:textId="77777777" w:rsidR="005C02D7" w:rsidRDefault="00932F6C">
      <w:pPr>
        <w:pStyle w:val="Heading3"/>
        <w:numPr>
          <w:ilvl w:val="0"/>
          <w:numId w:val="1"/>
        </w:numPr>
        <w:tabs>
          <w:tab w:val="left" w:pos="471"/>
        </w:tabs>
        <w:spacing w:before="52"/>
        <w:ind w:left="470" w:hanging="350"/>
      </w:pPr>
      <w:bookmarkStart w:id="25" w:name="11._What_was_the_process_for_constructin"/>
      <w:bookmarkStart w:id="26" w:name="_bookmark12"/>
      <w:bookmarkEnd w:id="25"/>
      <w:bookmarkEnd w:id="26"/>
      <w:r>
        <w:rPr>
          <w:color w:val="2F5496"/>
          <w:spacing w:val="-3"/>
        </w:rPr>
        <w:t xml:space="preserve">What </w:t>
      </w:r>
      <w:r>
        <w:rPr>
          <w:color w:val="2F5496"/>
        </w:rPr>
        <w:t xml:space="preserve">was the </w:t>
      </w:r>
      <w:r>
        <w:rPr>
          <w:color w:val="2F5496"/>
          <w:spacing w:val="-3"/>
        </w:rPr>
        <w:t xml:space="preserve">process </w:t>
      </w:r>
      <w:r>
        <w:rPr>
          <w:color w:val="2F5496"/>
        </w:rPr>
        <w:t xml:space="preserve">for </w:t>
      </w:r>
      <w:r>
        <w:rPr>
          <w:color w:val="2F5496"/>
          <w:spacing w:val="-3"/>
        </w:rPr>
        <w:t xml:space="preserve">constructing </w:t>
      </w:r>
      <w:r>
        <w:rPr>
          <w:color w:val="2F5496"/>
        </w:rPr>
        <w:t>this new funding</w:t>
      </w:r>
      <w:r>
        <w:rPr>
          <w:color w:val="2F5496"/>
          <w:spacing w:val="-33"/>
        </w:rPr>
        <w:t xml:space="preserve"> </w:t>
      </w:r>
      <w:r>
        <w:rPr>
          <w:color w:val="2F5496"/>
          <w:spacing w:val="-3"/>
        </w:rPr>
        <w:t>formula?</w:t>
      </w:r>
    </w:p>
    <w:p w14:paraId="2B62CB4A" w14:textId="77777777" w:rsidR="005C02D7" w:rsidRDefault="00932F6C">
      <w:pPr>
        <w:pStyle w:val="BodyText"/>
        <w:ind w:right="275"/>
      </w:pPr>
      <w:r>
        <w:t xml:space="preserve">The Chancellor’s Advisory Workgroup on Fiscal Affairs began exploring alternative funding strategies and hearing presentations in the Spring of 2017 and provided the Chancellor with an initial set of recommendations regarding a new funding system in December 2017. In January 2018, the Governor proposed the Student Centered Funding Formula, which shared some common elements with the recommendations of the Fiscal Affairs Workgroup. After the budget was released, the Chancellor asked both the Fiscal Affairs Workgroup and a Workgroup from the CEO Council of the Community College League of California, to evaluate the Governor’s proposal. Both groups met and discussed the SCFF and provided feedback to the Chancellor’s office staff. In addition, the Campaign for College Opportunity convened statewide experts through “Invest in Success” meetings to discuss whether the new funding formula was consistent with the equity goals outlined in the </w:t>
      </w:r>
      <w:r>
        <w:rPr>
          <w:i/>
        </w:rPr>
        <w:t>Vision for Success</w:t>
      </w:r>
      <w:r>
        <w:t>. The SCFF was also discussed at the Community College Consultation Council, and the Chancellor’s Office solicited feedback from colleges through an online survey. All of this input informed the Chancellor’s Office recommendation on the SCFF, which was delivered to the Department of Finance in early May 2018 (</w:t>
      </w:r>
      <w:hyperlink r:id="rId13">
        <w:r>
          <w:rPr>
            <w:rFonts w:ascii="Calibri" w:hAnsi="Calibri"/>
            <w:color w:val="0563C1"/>
            <w:u w:val="single" w:color="0563C1"/>
          </w:rPr>
          <w:t>http://extranet.cccco.edu/Portals/1/CFFP/Fiscal/Budget%20News/2018-19/Chancellors-Recommendations-on-</w:t>
        </w:r>
      </w:hyperlink>
      <w:r>
        <w:rPr>
          <w:rFonts w:ascii="Calibri" w:hAnsi="Calibri"/>
          <w:color w:val="0563C1"/>
        </w:rPr>
        <w:t xml:space="preserve"> </w:t>
      </w:r>
      <w:hyperlink r:id="rId14">
        <w:r>
          <w:rPr>
            <w:rFonts w:ascii="Calibri" w:hAnsi="Calibri"/>
            <w:color w:val="0563C1"/>
            <w:u w:val="single" w:color="0563C1"/>
          </w:rPr>
          <w:t>Funding-ADA.pdf</w:t>
        </w:r>
        <w:r>
          <w:rPr>
            <w:color w:val="0563C1"/>
            <w:u w:val="single" w:color="0563C1"/>
          </w:rPr>
          <w:t>).</w:t>
        </w:r>
        <w:r>
          <w:rPr>
            <w:color w:val="0563C1"/>
          </w:rPr>
          <w:t xml:space="preserve"> </w:t>
        </w:r>
      </w:hyperlink>
      <w:r>
        <w:t>We feel the recommendations of the Chancellor’s Office, and the stakeholder groups that were consulted, are reflected in the SCFF contained in the budget.</w:t>
      </w:r>
    </w:p>
    <w:p w14:paraId="2B62CB4B" w14:textId="77777777" w:rsidR="005C02D7" w:rsidRDefault="00932F6C">
      <w:pPr>
        <w:pStyle w:val="Heading3"/>
        <w:numPr>
          <w:ilvl w:val="0"/>
          <w:numId w:val="1"/>
        </w:numPr>
        <w:tabs>
          <w:tab w:val="left" w:pos="471"/>
        </w:tabs>
        <w:spacing w:before="160"/>
        <w:ind w:left="470" w:hanging="350"/>
      </w:pPr>
      <w:bookmarkStart w:id="27" w:name="12._How_does_the_new_funding_formula_cha"/>
      <w:bookmarkStart w:id="28" w:name="_bookmark13"/>
      <w:bookmarkEnd w:id="27"/>
      <w:bookmarkEnd w:id="28"/>
      <w:r>
        <w:rPr>
          <w:color w:val="2F5496"/>
        </w:rPr>
        <w:t xml:space="preserve">How does the </w:t>
      </w:r>
      <w:r>
        <w:rPr>
          <w:color w:val="2F5496"/>
          <w:spacing w:val="-3"/>
        </w:rPr>
        <w:t>new funding formula change categorical program</w:t>
      </w:r>
      <w:r>
        <w:rPr>
          <w:color w:val="2F5496"/>
          <w:spacing w:val="-16"/>
        </w:rPr>
        <w:t xml:space="preserve"> </w:t>
      </w:r>
      <w:r>
        <w:rPr>
          <w:color w:val="2F5496"/>
          <w:spacing w:val="-3"/>
        </w:rPr>
        <w:t>funding?</w:t>
      </w:r>
    </w:p>
    <w:p w14:paraId="2B62CB4C" w14:textId="77777777" w:rsidR="005C02D7" w:rsidRDefault="00932F6C">
      <w:pPr>
        <w:pStyle w:val="BodyText"/>
        <w:ind w:right="118"/>
      </w:pPr>
      <w:r>
        <w:t>Through the 2018-19 budget process three categorical programs, the Basic Skills Initiative, Student Success and Support Program, and Student Equity Program, were consolidated into one Block Grant program called the Student Equity and Achievement Program. However, while this change is happening simultaneously as the implementation of the SCFF, the total funding for the categorical programs and method of distribution remains unchanged and unaffected by the structure of the new funding formula. As a condition of receiving funds through this new program colleges must maintain student equity plans, provide student matriculation services, adopt multiple measures placement policies, and provide all eligible students with an education plan.</w:t>
      </w:r>
    </w:p>
    <w:p w14:paraId="2B62CB4D" w14:textId="77777777" w:rsidR="005C02D7" w:rsidRDefault="00932F6C">
      <w:pPr>
        <w:pStyle w:val="ListParagraph"/>
        <w:numPr>
          <w:ilvl w:val="0"/>
          <w:numId w:val="1"/>
        </w:numPr>
        <w:tabs>
          <w:tab w:val="left" w:pos="471"/>
        </w:tabs>
        <w:spacing w:before="160"/>
        <w:ind w:left="120" w:right="153" w:firstLine="0"/>
      </w:pPr>
      <w:bookmarkStart w:id="29" w:name="13._Did_everything_change_with_the_new_f"/>
      <w:bookmarkStart w:id="30" w:name="_bookmark14"/>
      <w:bookmarkEnd w:id="29"/>
      <w:bookmarkEnd w:id="30"/>
      <w:r>
        <w:rPr>
          <w:color w:val="2F5496"/>
          <w:sz w:val="24"/>
        </w:rPr>
        <w:t xml:space="preserve">Did </w:t>
      </w:r>
      <w:r>
        <w:rPr>
          <w:color w:val="2F5496"/>
          <w:spacing w:val="-3"/>
          <w:sz w:val="24"/>
        </w:rPr>
        <w:t xml:space="preserve">everything change </w:t>
      </w:r>
      <w:r>
        <w:rPr>
          <w:color w:val="2F5496"/>
          <w:sz w:val="24"/>
        </w:rPr>
        <w:t xml:space="preserve">with the </w:t>
      </w:r>
      <w:r>
        <w:rPr>
          <w:color w:val="2F5496"/>
          <w:spacing w:val="-3"/>
          <w:sz w:val="24"/>
        </w:rPr>
        <w:t xml:space="preserve">new </w:t>
      </w:r>
      <w:r>
        <w:rPr>
          <w:color w:val="2F5496"/>
          <w:sz w:val="24"/>
        </w:rPr>
        <w:t xml:space="preserve">funding </w:t>
      </w:r>
      <w:r>
        <w:rPr>
          <w:color w:val="2F5496"/>
          <w:spacing w:val="-3"/>
          <w:sz w:val="24"/>
        </w:rPr>
        <w:t xml:space="preserve">formula, </w:t>
      </w:r>
      <w:r>
        <w:rPr>
          <w:color w:val="2F5496"/>
          <w:sz w:val="24"/>
        </w:rPr>
        <w:t xml:space="preserve">such as </w:t>
      </w:r>
      <w:r>
        <w:rPr>
          <w:color w:val="2F5496"/>
          <w:spacing w:val="-3"/>
          <w:sz w:val="24"/>
        </w:rPr>
        <w:t xml:space="preserve">summer </w:t>
      </w:r>
      <w:r>
        <w:rPr>
          <w:color w:val="2F5496"/>
          <w:sz w:val="24"/>
        </w:rPr>
        <w:t xml:space="preserve">shift, stability, restoration </w:t>
      </w:r>
      <w:r>
        <w:rPr>
          <w:color w:val="2F5496"/>
          <w:spacing w:val="-3"/>
          <w:sz w:val="24"/>
        </w:rPr>
        <w:t>provisions?</w:t>
      </w:r>
      <w:r>
        <w:rPr>
          <w:spacing w:val="-3"/>
          <w:sz w:val="24"/>
        </w:rPr>
        <w:t xml:space="preserve"> </w:t>
      </w:r>
      <w:r>
        <w:t>Not everything changed with the new funding formula. While the original January proposal for the SCFF called for the elimination of summer shift, the enacted proposal does not make any changes to how districts count summer enrollment. Stability and restoration of FTES workload remain components of the</w:t>
      </w:r>
      <w:r>
        <w:rPr>
          <w:spacing w:val="-4"/>
        </w:rPr>
        <w:t xml:space="preserve"> </w:t>
      </w:r>
      <w:r>
        <w:t>SCFF.</w:t>
      </w:r>
    </w:p>
    <w:p w14:paraId="2B62CB4E" w14:textId="77777777" w:rsidR="005C02D7" w:rsidRDefault="00932F6C">
      <w:pPr>
        <w:pStyle w:val="Heading3"/>
        <w:numPr>
          <w:ilvl w:val="0"/>
          <w:numId w:val="1"/>
        </w:numPr>
        <w:tabs>
          <w:tab w:val="left" w:pos="471"/>
        </w:tabs>
        <w:spacing w:before="161" w:line="240" w:lineRule="auto"/>
        <w:ind w:left="120" w:right="987" w:firstLine="0"/>
      </w:pPr>
      <w:bookmarkStart w:id="31" w:name="14._How_does_this_funding_formula_compar"/>
      <w:bookmarkStart w:id="32" w:name="_bookmark15"/>
      <w:bookmarkEnd w:id="31"/>
      <w:bookmarkEnd w:id="32"/>
      <w:r>
        <w:rPr>
          <w:color w:val="2F5496"/>
        </w:rPr>
        <w:t>How</w:t>
      </w:r>
      <w:r>
        <w:rPr>
          <w:color w:val="2F5496"/>
          <w:spacing w:val="-6"/>
        </w:rPr>
        <w:t xml:space="preserve"> </w:t>
      </w:r>
      <w:r>
        <w:rPr>
          <w:color w:val="2F5496"/>
        </w:rPr>
        <w:t>does</w:t>
      </w:r>
      <w:r>
        <w:rPr>
          <w:color w:val="2F5496"/>
          <w:spacing w:val="-6"/>
        </w:rPr>
        <w:t xml:space="preserve"> </w:t>
      </w:r>
      <w:r>
        <w:rPr>
          <w:color w:val="2F5496"/>
        </w:rPr>
        <w:t>this</w:t>
      </w:r>
      <w:r>
        <w:rPr>
          <w:color w:val="2F5496"/>
          <w:spacing w:val="-5"/>
        </w:rPr>
        <w:t xml:space="preserve"> </w:t>
      </w:r>
      <w:r>
        <w:rPr>
          <w:color w:val="2F5496"/>
          <w:spacing w:val="-3"/>
        </w:rPr>
        <w:t>funding</w:t>
      </w:r>
      <w:r>
        <w:rPr>
          <w:color w:val="2F5496"/>
          <w:spacing w:val="-6"/>
        </w:rPr>
        <w:t xml:space="preserve"> </w:t>
      </w:r>
      <w:r>
        <w:rPr>
          <w:color w:val="2F5496"/>
        </w:rPr>
        <w:t>formula</w:t>
      </w:r>
      <w:r>
        <w:rPr>
          <w:color w:val="2F5496"/>
          <w:spacing w:val="-4"/>
        </w:rPr>
        <w:t xml:space="preserve"> </w:t>
      </w:r>
      <w:r>
        <w:rPr>
          <w:color w:val="2F5496"/>
          <w:spacing w:val="-3"/>
        </w:rPr>
        <w:t>compare</w:t>
      </w:r>
      <w:r>
        <w:rPr>
          <w:color w:val="2F5496"/>
          <w:spacing w:val="-5"/>
        </w:rPr>
        <w:t xml:space="preserve"> </w:t>
      </w:r>
      <w:r>
        <w:rPr>
          <w:color w:val="2F5496"/>
        </w:rPr>
        <w:t>with</w:t>
      </w:r>
      <w:r>
        <w:rPr>
          <w:color w:val="2F5496"/>
          <w:spacing w:val="-9"/>
        </w:rPr>
        <w:t xml:space="preserve"> </w:t>
      </w:r>
      <w:r>
        <w:rPr>
          <w:color w:val="2F5496"/>
        </w:rPr>
        <w:t>other</w:t>
      </w:r>
      <w:r>
        <w:rPr>
          <w:color w:val="2F5496"/>
          <w:spacing w:val="-5"/>
        </w:rPr>
        <w:t xml:space="preserve"> </w:t>
      </w:r>
      <w:r>
        <w:rPr>
          <w:color w:val="2F5496"/>
          <w:spacing w:val="-3"/>
        </w:rPr>
        <w:t>states</w:t>
      </w:r>
      <w:r>
        <w:rPr>
          <w:color w:val="2F5496"/>
          <w:spacing w:val="-7"/>
        </w:rPr>
        <w:t xml:space="preserve"> </w:t>
      </w:r>
      <w:r>
        <w:rPr>
          <w:color w:val="2F5496"/>
        </w:rPr>
        <w:t>and</w:t>
      </w:r>
      <w:r>
        <w:rPr>
          <w:color w:val="2F5496"/>
          <w:spacing w:val="-6"/>
        </w:rPr>
        <w:t xml:space="preserve"> </w:t>
      </w:r>
      <w:r>
        <w:rPr>
          <w:color w:val="2F5496"/>
          <w:spacing w:val="-3"/>
        </w:rPr>
        <w:t>more</w:t>
      </w:r>
      <w:r>
        <w:rPr>
          <w:color w:val="2F5496"/>
          <w:spacing w:val="-5"/>
        </w:rPr>
        <w:t xml:space="preserve"> </w:t>
      </w:r>
      <w:r>
        <w:rPr>
          <w:color w:val="2F5496"/>
          <w:spacing w:val="-3"/>
        </w:rPr>
        <w:t>general</w:t>
      </w:r>
      <w:r>
        <w:rPr>
          <w:color w:val="2F5496"/>
          <w:spacing w:val="-4"/>
        </w:rPr>
        <w:t xml:space="preserve"> </w:t>
      </w:r>
      <w:r>
        <w:rPr>
          <w:color w:val="2F5496"/>
          <w:spacing w:val="-3"/>
        </w:rPr>
        <w:t>outcomes</w:t>
      </w:r>
      <w:r>
        <w:rPr>
          <w:color w:val="2F5496"/>
          <w:spacing w:val="-6"/>
        </w:rPr>
        <w:t xml:space="preserve"> </w:t>
      </w:r>
      <w:r>
        <w:rPr>
          <w:color w:val="2F5496"/>
        </w:rPr>
        <w:t>based</w:t>
      </w:r>
      <w:r>
        <w:rPr>
          <w:color w:val="2F5496"/>
          <w:spacing w:val="-9"/>
        </w:rPr>
        <w:t xml:space="preserve"> </w:t>
      </w:r>
      <w:r>
        <w:rPr>
          <w:color w:val="2F5496"/>
          <w:spacing w:val="-3"/>
        </w:rPr>
        <w:t>funding formulas?</w:t>
      </w:r>
    </w:p>
    <w:p w14:paraId="2B62CB4F" w14:textId="77777777" w:rsidR="005C02D7" w:rsidRDefault="00932F6C">
      <w:pPr>
        <w:pStyle w:val="BodyText"/>
        <w:ind w:right="235"/>
      </w:pPr>
      <w:r>
        <w:t>The SCFF is not like a traditional outcomes-based funding approach because it prioritizes both success and equity. Not all outcomes-based funding approaches have stipulations for funding based on the number of disadvantaged students enrolled and their successful outcomes. The SCFF also differs from other outcomes-based funding models because it also includes progression outcomes, such as completion of transfer level English and math in the first academic year, and because it includes workforce outcomes, such as attainment of a regional living wage. These components reflect the California Community Colleges’ dual role of helping students transfer and of preparing them for the workforce. However, the design of the SCFF took into account what is known about outcomes-based funding formulas in other states and was crafted in such a way as to try to avoid or mitigate some of the unintended consequences those programs have experienced.</w:t>
      </w:r>
    </w:p>
    <w:p w14:paraId="2B62CB50" w14:textId="77777777" w:rsidR="005C02D7" w:rsidRDefault="005C02D7">
      <w:pPr>
        <w:pStyle w:val="BodyText"/>
        <w:spacing w:before="8"/>
        <w:ind w:left="0"/>
        <w:rPr>
          <w:sz w:val="19"/>
        </w:rPr>
      </w:pPr>
    </w:p>
    <w:p w14:paraId="2B62CB51" w14:textId="476D8CAF" w:rsidR="005C02D7" w:rsidRDefault="00932F6C">
      <w:pPr>
        <w:pStyle w:val="Heading2"/>
      </w:pPr>
      <w:bookmarkStart w:id="33" w:name="Implementation_Process"/>
      <w:bookmarkStart w:id="34" w:name="_bookmark16"/>
      <w:bookmarkEnd w:id="33"/>
      <w:bookmarkEnd w:id="34"/>
      <w:r>
        <w:rPr>
          <w:color w:val="44546A"/>
        </w:rPr>
        <w:t>Implementation Process</w:t>
      </w:r>
    </w:p>
    <w:p w14:paraId="2B62CB52" w14:textId="77777777" w:rsidR="005C02D7" w:rsidRDefault="00932F6C">
      <w:pPr>
        <w:pStyle w:val="Heading3"/>
        <w:numPr>
          <w:ilvl w:val="0"/>
          <w:numId w:val="1"/>
        </w:numPr>
        <w:tabs>
          <w:tab w:val="left" w:pos="471"/>
        </w:tabs>
        <w:spacing w:before="61"/>
        <w:ind w:left="470" w:hanging="350"/>
      </w:pPr>
      <w:bookmarkStart w:id="35" w:name="15._How_will_district_funding_levels_be_"/>
      <w:bookmarkStart w:id="36" w:name="_bookmark17"/>
      <w:bookmarkEnd w:id="35"/>
      <w:bookmarkEnd w:id="36"/>
      <w:r>
        <w:rPr>
          <w:color w:val="2F5496"/>
        </w:rPr>
        <w:t xml:space="preserve">How will district </w:t>
      </w:r>
      <w:r>
        <w:rPr>
          <w:color w:val="2F5496"/>
          <w:spacing w:val="-3"/>
        </w:rPr>
        <w:t xml:space="preserve">funding </w:t>
      </w:r>
      <w:r>
        <w:rPr>
          <w:color w:val="2F5496"/>
        </w:rPr>
        <w:t xml:space="preserve">levels </w:t>
      </w:r>
      <w:r>
        <w:rPr>
          <w:color w:val="2F5496"/>
          <w:spacing w:val="-3"/>
        </w:rPr>
        <w:t>be</w:t>
      </w:r>
      <w:r>
        <w:rPr>
          <w:color w:val="2F5496"/>
          <w:spacing w:val="-21"/>
        </w:rPr>
        <w:t xml:space="preserve"> </w:t>
      </w:r>
      <w:r>
        <w:rPr>
          <w:color w:val="2F5496"/>
        </w:rPr>
        <w:t>affected?</w:t>
      </w:r>
    </w:p>
    <w:p w14:paraId="2B62CB53" w14:textId="77777777" w:rsidR="005C02D7" w:rsidRDefault="00932F6C">
      <w:pPr>
        <w:pStyle w:val="BodyText"/>
        <w:ind w:right="107"/>
      </w:pPr>
      <w:r>
        <w:t>For 2018-19, all districts will receive additional financial resources. Under the new funding formula districts that financially benefit beyond their 2017-18 allocation plus a cost of living adjustment will receive those higher amounts while districts that do not, will receive their 2017-18 allocation increased by a cost-of-living adjustment.</w:t>
      </w:r>
    </w:p>
    <w:p w14:paraId="2B62CB54" w14:textId="77777777" w:rsidR="005C02D7" w:rsidRDefault="005C02D7">
      <w:pPr>
        <w:sectPr w:rsidR="005C02D7">
          <w:pgSz w:w="12240" w:h="15840"/>
          <w:pgMar w:top="1140" w:right="600" w:bottom="540" w:left="600" w:header="311" w:footer="354" w:gutter="0"/>
          <w:cols w:space="720"/>
        </w:sectPr>
      </w:pPr>
    </w:p>
    <w:p w14:paraId="2B62CB55" w14:textId="77777777" w:rsidR="005C02D7" w:rsidRDefault="005C02D7">
      <w:pPr>
        <w:pStyle w:val="BodyText"/>
        <w:ind w:left="0"/>
        <w:rPr>
          <w:sz w:val="14"/>
        </w:rPr>
      </w:pPr>
    </w:p>
    <w:p w14:paraId="2B62CB56" w14:textId="77777777" w:rsidR="005C02D7" w:rsidRDefault="00932F6C">
      <w:pPr>
        <w:pStyle w:val="Heading3"/>
        <w:numPr>
          <w:ilvl w:val="0"/>
          <w:numId w:val="1"/>
        </w:numPr>
        <w:tabs>
          <w:tab w:val="left" w:pos="471"/>
        </w:tabs>
        <w:spacing w:before="52" w:line="240" w:lineRule="auto"/>
        <w:ind w:left="120" w:right="639" w:firstLine="0"/>
      </w:pPr>
      <w:bookmarkStart w:id="37" w:name="16._Will_there_be_more_funding_or_does_t"/>
      <w:bookmarkStart w:id="38" w:name="_bookmark18"/>
      <w:bookmarkEnd w:id="37"/>
      <w:bookmarkEnd w:id="38"/>
      <w:r>
        <w:rPr>
          <w:color w:val="2F5496"/>
        </w:rPr>
        <w:t>Will</w:t>
      </w:r>
      <w:r>
        <w:rPr>
          <w:color w:val="2F5496"/>
          <w:spacing w:val="-5"/>
        </w:rPr>
        <w:t xml:space="preserve"> </w:t>
      </w:r>
      <w:r>
        <w:rPr>
          <w:color w:val="2F5496"/>
        </w:rPr>
        <w:t>there</w:t>
      </w:r>
      <w:r>
        <w:rPr>
          <w:color w:val="2F5496"/>
          <w:spacing w:val="-5"/>
        </w:rPr>
        <w:t xml:space="preserve"> </w:t>
      </w:r>
      <w:r>
        <w:rPr>
          <w:color w:val="2F5496"/>
          <w:spacing w:val="-3"/>
        </w:rPr>
        <w:t>be</w:t>
      </w:r>
      <w:r>
        <w:rPr>
          <w:color w:val="2F5496"/>
          <w:spacing w:val="-6"/>
        </w:rPr>
        <w:t xml:space="preserve"> </w:t>
      </w:r>
      <w:r>
        <w:rPr>
          <w:color w:val="2F5496"/>
          <w:spacing w:val="-3"/>
        </w:rPr>
        <w:t>more</w:t>
      </w:r>
      <w:r>
        <w:rPr>
          <w:color w:val="2F5496"/>
          <w:spacing w:val="-7"/>
        </w:rPr>
        <w:t xml:space="preserve"> </w:t>
      </w:r>
      <w:r>
        <w:rPr>
          <w:color w:val="2F5496"/>
          <w:spacing w:val="-3"/>
        </w:rPr>
        <w:t>funding</w:t>
      </w:r>
      <w:r>
        <w:rPr>
          <w:color w:val="2F5496"/>
          <w:spacing w:val="-7"/>
        </w:rPr>
        <w:t xml:space="preserve"> </w:t>
      </w:r>
      <w:r>
        <w:rPr>
          <w:color w:val="2F5496"/>
        </w:rPr>
        <w:t>or</w:t>
      </w:r>
      <w:r>
        <w:rPr>
          <w:color w:val="2F5496"/>
          <w:spacing w:val="-5"/>
        </w:rPr>
        <w:t xml:space="preserve"> </w:t>
      </w:r>
      <w:r>
        <w:rPr>
          <w:color w:val="2F5496"/>
        </w:rPr>
        <w:t>does</w:t>
      </w:r>
      <w:r>
        <w:rPr>
          <w:color w:val="2F5496"/>
          <w:spacing w:val="-8"/>
        </w:rPr>
        <w:t xml:space="preserve"> </w:t>
      </w:r>
      <w:r>
        <w:rPr>
          <w:color w:val="2F5496"/>
        </w:rPr>
        <w:t>the</w:t>
      </w:r>
      <w:r>
        <w:rPr>
          <w:color w:val="2F5496"/>
          <w:spacing w:val="-6"/>
        </w:rPr>
        <w:t xml:space="preserve"> </w:t>
      </w:r>
      <w:r>
        <w:rPr>
          <w:color w:val="2F5496"/>
        </w:rPr>
        <w:t>new</w:t>
      </w:r>
      <w:r>
        <w:rPr>
          <w:color w:val="2F5496"/>
          <w:spacing w:val="-8"/>
        </w:rPr>
        <w:t xml:space="preserve"> </w:t>
      </w:r>
      <w:r>
        <w:rPr>
          <w:color w:val="2F5496"/>
          <w:spacing w:val="-3"/>
        </w:rPr>
        <w:t>funding</w:t>
      </w:r>
      <w:r>
        <w:rPr>
          <w:color w:val="2F5496"/>
          <w:spacing w:val="-7"/>
        </w:rPr>
        <w:t xml:space="preserve"> </w:t>
      </w:r>
      <w:r>
        <w:rPr>
          <w:color w:val="2F5496"/>
          <w:spacing w:val="-3"/>
        </w:rPr>
        <w:t>formula</w:t>
      </w:r>
      <w:r>
        <w:rPr>
          <w:color w:val="2F5496"/>
          <w:spacing w:val="-7"/>
        </w:rPr>
        <w:t xml:space="preserve"> </w:t>
      </w:r>
      <w:r>
        <w:rPr>
          <w:color w:val="2F5496"/>
        </w:rPr>
        <w:t>just</w:t>
      </w:r>
      <w:r>
        <w:rPr>
          <w:color w:val="2F5496"/>
          <w:spacing w:val="-4"/>
        </w:rPr>
        <w:t xml:space="preserve"> </w:t>
      </w:r>
      <w:r>
        <w:rPr>
          <w:color w:val="2F5496"/>
          <w:spacing w:val="-3"/>
        </w:rPr>
        <w:t>divide</w:t>
      </w:r>
      <w:r>
        <w:rPr>
          <w:color w:val="2F5496"/>
          <w:spacing w:val="-8"/>
        </w:rPr>
        <w:t xml:space="preserve"> </w:t>
      </w:r>
      <w:r>
        <w:rPr>
          <w:color w:val="2F5496"/>
        </w:rPr>
        <w:t>up</w:t>
      </w:r>
      <w:r>
        <w:rPr>
          <w:color w:val="2F5496"/>
          <w:spacing w:val="-6"/>
        </w:rPr>
        <w:t xml:space="preserve"> </w:t>
      </w:r>
      <w:r>
        <w:rPr>
          <w:color w:val="2F5496"/>
        </w:rPr>
        <w:t>the</w:t>
      </w:r>
      <w:r>
        <w:rPr>
          <w:color w:val="2F5496"/>
          <w:spacing w:val="-6"/>
        </w:rPr>
        <w:t xml:space="preserve"> </w:t>
      </w:r>
      <w:r>
        <w:rPr>
          <w:color w:val="2F5496"/>
          <w:spacing w:val="-3"/>
        </w:rPr>
        <w:t>same</w:t>
      </w:r>
      <w:r>
        <w:rPr>
          <w:color w:val="2F5496"/>
          <w:spacing w:val="-5"/>
        </w:rPr>
        <w:t xml:space="preserve"> </w:t>
      </w:r>
      <w:r>
        <w:rPr>
          <w:color w:val="2F5496"/>
        </w:rPr>
        <w:t>dollars</w:t>
      </w:r>
      <w:r>
        <w:rPr>
          <w:color w:val="2F5496"/>
          <w:spacing w:val="-6"/>
        </w:rPr>
        <w:t xml:space="preserve"> </w:t>
      </w:r>
      <w:r>
        <w:rPr>
          <w:color w:val="2F5496"/>
        </w:rPr>
        <w:t>in</w:t>
      </w:r>
      <w:r>
        <w:rPr>
          <w:color w:val="2F5496"/>
          <w:spacing w:val="-10"/>
        </w:rPr>
        <w:t xml:space="preserve"> </w:t>
      </w:r>
      <w:r>
        <w:rPr>
          <w:color w:val="2F5496"/>
        </w:rPr>
        <w:t>a</w:t>
      </w:r>
      <w:r>
        <w:rPr>
          <w:color w:val="2F5496"/>
          <w:spacing w:val="-4"/>
        </w:rPr>
        <w:t xml:space="preserve"> </w:t>
      </w:r>
      <w:r>
        <w:rPr>
          <w:color w:val="2F5496"/>
        </w:rPr>
        <w:t xml:space="preserve">different </w:t>
      </w:r>
      <w:r>
        <w:rPr>
          <w:color w:val="2F5496"/>
          <w:spacing w:val="-3"/>
        </w:rPr>
        <w:t>way?</w:t>
      </w:r>
    </w:p>
    <w:p w14:paraId="2B62CB57" w14:textId="77777777" w:rsidR="005C02D7" w:rsidRDefault="00932F6C">
      <w:pPr>
        <w:pStyle w:val="BodyText"/>
        <w:ind w:right="225"/>
      </w:pPr>
      <w:r>
        <w:t>The California Community Colleges received additional funding in the state budget for the implementation of the SCFF. The Governor’s budget not only increased funding for base augmentations but also included $77 million to fund the Hold Harmless provision and ensure that district funding covers a cost of living increase. Per student spending is expected to increase 5.8 percent in the coming year.</w:t>
      </w:r>
    </w:p>
    <w:p w14:paraId="2B62CB58" w14:textId="77777777" w:rsidR="005C02D7" w:rsidRDefault="00932F6C">
      <w:pPr>
        <w:pStyle w:val="Heading3"/>
        <w:numPr>
          <w:ilvl w:val="0"/>
          <w:numId w:val="1"/>
        </w:numPr>
        <w:tabs>
          <w:tab w:val="left" w:pos="471"/>
        </w:tabs>
        <w:ind w:left="470" w:hanging="350"/>
      </w:pPr>
      <w:bookmarkStart w:id="39" w:name="17._Is_there_a_Hold_Harmless_and_if_so_f"/>
      <w:bookmarkStart w:id="40" w:name="_bookmark19"/>
      <w:bookmarkEnd w:id="39"/>
      <w:bookmarkEnd w:id="40"/>
      <w:r>
        <w:rPr>
          <w:color w:val="2F5496"/>
        </w:rPr>
        <w:t xml:space="preserve">Is there a Hold </w:t>
      </w:r>
      <w:r>
        <w:rPr>
          <w:color w:val="2F5496"/>
          <w:spacing w:val="-3"/>
        </w:rPr>
        <w:t xml:space="preserve">Harmless </w:t>
      </w:r>
      <w:r>
        <w:rPr>
          <w:color w:val="2F5496"/>
        </w:rPr>
        <w:t xml:space="preserve">and if </w:t>
      </w:r>
      <w:r>
        <w:rPr>
          <w:color w:val="2F5496"/>
          <w:spacing w:val="-3"/>
        </w:rPr>
        <w:t xml:space="preserve">so </w:t>
      </w:r>
      <w:r>
        <w:rPr>
          <w:color w:val="2F5496"/>
        </w:rPr>
        <w:t xml:space="preserve">for how </w:t>
      </w:r>
      <w:r>
        <w:rPr>
          <w:color w:val="2F5496"/>
          <w:spacing w:val="-3"/>
        </w:rPr>
        <w:t>many</w:t>
      </w:r>
      <w:r>
        <w:rPr>
          <w:color w:val="2F5496"/>
          <w:spacing w:val="-34"/>
        </w:rPr>
        <w:t xml:space="preserve"> </w:t>
      </w:r>
      <w:r>
        <w:rPr>
          <w:color w:val="2F5496"/>
        </w:rPr>
        <w:t>years?</w:t>
      </w:r>
    </w:p>
    <w:p w14:paraId="2B62CB59" w14:textId="77777777" w:rsidR="005C02D7" w:rsidRDefault="00932F6C">
      <w:pPr>
        <w:pStyle w:val="BodyText"/>
        <w:ind w:right="141"/>
      </w:pPr>
      <w:r>
        <w:t>Over the next three years, as the funding formula is phased-in, any district can be “held harmless” where, at a minimum, it will receive resources at least equal to the amounts received in 2017-18 plus a cost-of-living adjustment. Beginning in 2020-21,</w:t>
      </w:r>
      <w:r>
        <w:rPr>
          <w:spacing w:val="-2"/>
        </w:rPr>
        <w:t xml:space="preserve"> </w:t>
      </w:r>
      <w:r>
        <w:t>all</w:t>
      </w:r>
      <w:r>
        <w:rPr>
          <w:spacing w:val="-3"/>
        </w:rPr>
        <w:t xml:space="preserve"> </w:t>
      </w:r>
      <w:r>
        <w:t>districts</w:t>
      </w:r>
      <w:r>
        <w:rPr>
          <w:spacing w:val="-1"/>
        </w:rPr>
        <w:t xml:space="preserve"> </w:t>
      </w:r>
      <w:r>
        <w:t>will</w:t>
      </w:r>
      <w:r>
        <w:rPr>
          <w:spacing w:val="-4"/>
        </w:rPr>
        <w:t xml:space="preserve"> </w:t>
      </w:r>
      <w:r>
        <w:t>receive</w:t>
      </w:r>
      <w:r>
        <w:rPr>
          <w:spacing w:val="-3"/>
        </w:rPr>
        <w:t xml:space="preserve"> </w:t>
      </w:r>
      <w:r>
        <w:t>at</w:t>
      </w:r>
      <w:r>
        <w:rPr>
          <w:spacing w:val="-2"/>
        </w:rPr>
        <w:t xml:space="preserve"> </w:t>
      </w:r>
      <w:r>
        <w:t>least</w:t>
      </w:r>
      <w:r>
        <w:rPr>
          <w:spacing w:val="-3"/>
        </w:rPr>
        <w:t xml:space="preserve"> </w:t>
      </w:r>
      <w:r>
        <w:t>the</w:t>
      </w:r>
      <w:r>
        <w:rPr>
          <w:spacing w:val="-3"/>
        </w:rPr>
        <w:t xml:space="preserve"> </w:t>
      </w:r>
      <w:r>
        <w:t>per-student</w:t>
      </w:r>
      <w:r>
        <w:rPr>
          <w:spacing w:val="-3"/>
        </w:rPr>
        <w:t xml:space="preserve"> </w:t>
      </w:r>
      <w:r>
        <w:t>rates</w:t>
      </w:r>
      <w:r>
        <w:rPr>
          <w:spacing w:val="-3"/>
        </w:rPr>
        <w:t xml:space="preserve"> </w:t>
      </w:r>
      <w:r>
        <w:t>received</w:t>
      </w:r>
      <w:r>
        <w:rPr>
          <w:spacing w:val="-2"/>
        </w:rPr>
        <w:t xml:space="preserve"> </w:t>
      </w:r>
      <w:r>
        <w:t>in</w:t>
      </w:r>
      <w:r>
        <w:rPr>
          <w:spacing w:val="-1"/>
        </w:rPr>
        <w:t xml:space="preserve"> </w:t>
      </w:r>
      <w:r>
        <w:t>2017-18.</w:t>
      </w:r>
      <w:r>
        <w:rPr>
          <w:spacing w:val="-1"/>
        </w:rPr>
        <w:t xml:space="preserve"> </w:t>
      </w:r>
      <w:r>
        <w:t>If</w:t>
      </w:r>
      <w:r>
        <w:rPr>
          <w:spacing w:val="-2"/>
        </w:rPr>
        <w:t xml:space="preserve"> </w:t>
      </w:r>
      <w:r>
        <w:t>at</w:t>
      </w:r>
      <w:r>
        <w:rPr>
          <w:spacing w:val="-2"/>
        </w:rPr>
        <w:t xml:space="preserve"> </w:t>
      </w:r>
      <w:r>
        <w:t>any</w:t>
      </w:r>
      <w:r>
        <w:rPr>
          <w:spacing w:val="-1"/>
        </w:rPr>
        <w:t xml:space="preserve"> </w:t>
      </w:r>
      <w:r>
        <w:t>time</w:t>
      </w:r>
      <w:r>
        <w:rPr>
          <w:spacing w:val="-4"/>
        </w:rPr>
        <w:t xml:space="preserve"> </w:t>
      </w:r>
      <w:r>
        <w:t>during</w:t>
      </w:r>
      <w:r>
        <w:rPr>
          <w:spacing w:val="-5"/>
        </w:rPr>
        <w:t xml:space="preserve"> </w:t>
      </w:r>
      <w:r>
        <w:t>the</w:t>
      </w:r>
      <w:r>
        <w:rPr>
          <w:spacing w:val="-5"/>
        </w:rPr>
        <w:t xml:space="preserve"> </w:t>
      </w:r>
      <w:r>
        <w:t>hold</w:t>
      </w:r>
      <w:r>
        <w:rPr>
          <w:spacing w:val="-1"/>
        </w:rPr>
        <w:t xml:space="preserve"> </w:t>
      </w:r>
      <w:r>
        <w:t>harmless period a district would do better under the new funding formula than the hold harmless amount they will receive the higher of the two.</w:t>
      </w:r>
    </w:p>
    <w:p w14:paraId="2B62CB5A" w14:textId="77777777" w:rsidR="005C02D7" w:rsidRDefault="00932F6C">
      <w:pPr>
        <w:pStyle w:val="Heading3"/>
        <w:numPr>
          <w:ilvl w:val="0"/>
          <w:numId w:val="1"/>
        </w:numPr>
        <w:tabs>
          <w:tab w:val="left" w:pos="471"/>
        </w:tabs>
        <w:spacing w:before="162" w:line="240" w:lineRule="auto"/>
        <w:ind w:left="120" w:right="298" w:firstLine="0"/>
      </w:pPr>
      <w:bookmarkStart w:id="41" w:name="18._Will_each_district_receive_70%_of_it"/>
      <w:bookmarkStart w:id="42" w:name="_bookmark20"/>
      <w:bookmarkEnd w:id="41"/>
      <w:bookmarkEnd w:id="42"/>
      <w:r>
        <w:rPr>
          <w:color w:val="2F5496"/>
        </w:rPr>
        <w:t>Will</w:t>
      </w:r>
      <w:r>
        <w:rPr>
          <w:color w:val="2F5496"/>
          <w:spacing w:val="-9"/>
        </w:rPr>
        <w:t xml:space="preserve"> </w:t>
      </w:r>
      <w:r>
        <w:rPr>
          <w:color w:val="2F5496"/>
        </w:rPr>
        <w:t>each</w:t>
      </w:r>
      <w:r>
        <w:rPr>
          <w:color w:val="2F5496"/>
          <w:spacing w:val="-11"/>
        </w:rPr>
        <w:t xml:space="preserve"> </w:t>
      </w:r>
      <w:r>
        <w:rPr>
          <w:color w:val="2F5496"/>
        </w:rPr>
        <w:t>district</w:t>
      </w:r>
      <w:r>
        <w:rPr>
          <w:color w:val="2F5496"/>
          <w:spacing w:val="-9"/>
        </w:rPr>
        <w:t xml:space="preserve"> </w:t>
      </w:r>
      <w:r>
        <w:rPr>
          <w:color w:val="2F5496"/>
        </w:rPr>
        <w:t>receive</w:t>
      </w:r>
      <w:r>
        <w:rPr>
          <w:color w:val="2F5496"/>
          <w:spacing w:val="-10"/>
        </w:rPr>
        <w:t xml:space="preserve"> </w:t>
      </w:r>
      <w:r>
        <w:rPr>
          <w:color w:val="2F5496"/>
          <w:spacing w:val="-3"/>
        </w:rPr>
        <w:t>70%</w:t>
      </w:r>
      <w:r>
        <w:rPr>
          <w:color w:val="2F5496"/>
          <w:spacing w:val="-12"/>
        </w:rPr>
        <w:t xml:space="preserve"> </w:t>
      </w:r>
      <w:r>
        <w:rPr>
          <w:color w:val="2F5496"/>
        </w:rPr>
        <w:t>of</w:t>
      </w:r>
      <w:r>
        <w:rPr>
          <w:color w:val="2F5496"/>
          <w:spacing w:val="-11"/>
        </w:rPr>
        <w:t xml:space="preserve"> </w:t>
      </w:r>
      <w:r>
        <w:rPr>
          <w:color w:val="2F5496"/>
        </w:rPr>
        <w:t>its</w:t>
      </w:r>
      <w:r>
        <w:rPr>
          <w:color w:val="2F5496"/>
          <w:spacing w:val="-12"/>
        </w:rPr>
        <w:t xml:space="preserve"> </w:t>
      </w:r>
      <w:r>
        <w:rPr>
          <w:color w:val="2F5496"/>
        </w:rPr>
        <w:t>funding</w:t>
      </w:r>
      <w:r>
        <w:rPr>
          <w:color w:val="2F5496"/>
          <w:spacing w:val="-12"/>
        </w:rPr>
        <w:t xml:space="preserve"> </w:t>
      </w:r>
      <w:r>
        <w:rPr>
          <w:color w:val="2F5496"/>
        </w:rPr>
        <w:t>from</w:t>
      </w:r>
      <w:r>
        <w:rPr>
          <w:color w:val="2F5496"/>
          <w:spacing w:val="-12"/>
        </w:rPr>
        <w:t xml:space="preserve"> </w:t>
      </w:r>
      <w:r>
        <w:rPr>
          <w:color w:val="2F5496"/>
        </w:rPr>
        <w:t>the</w:t>
      </w:r>
      <w:r>
        <w:rPr>
          <w:color w:val="2F5496"/>
          <w:spacing w:val="-11"/>
        </w:rPr>
        <w:t xml:space="preserve"> </w:t>
      </w:r>
      <w:r>
        <w:rPr>
          <w:color w:val="2F5496"/>
        </w:rPr>
        <w:t>Base</w:t>
      </w:r>
      <w:r>
        <w:rPr>
          <w:color w:val="2F5496"/>
          <w:spacing w:val="-12"/>
        </w:rPr>
        <w:t xml:space="preserve"> </w:t>
      </w:r>
      <w:r>
        <w:rPr>
          <w:color w:val="2F5496"/>
        </w:rPr>
        <w:t>Allocation,</w:t>
      </w:r>
      <w:r>
        <w:rPr>
          <w:color w:val="2F5496"/>
          <w:spacing w:val="-10"/>
        </w:rPr>
        <w:t xml:space="preserve"> </w:t>
      </w:r>
      <w:r>
        <w:rPr>
          <w:color w:val="2F5496"/>
          <w:spacing w:val="-3"/>
        </w:rPr>
        <w:t>20%</w:t>
      </w:r>
      <w:r>
        <w:rPr>
          <w:color w:val="2F5496"/>
          <w:spacing w:val="-10"/>
        </w:rPr>
        <w:t xml:space="preserve"> </w:t>
      </w:r>
      <w:r>
        <w:rPr>
          <w:color w:val="2F5496"/>
        </w:rPr>
        <w:t>from</w:t>
      </w:r>
      <w:r>
        <w:rPr>
          <w:color w:val="2F5496"/>
          <w:spacing w:val="-14"/>
        </w:rPr>
        <w:t xml:space="preserve"> </w:t>
      </w:r>
      <w:r>
        <w:rPr>
          <w:color w:val="2F5496"/>
        </w:rPr>
        <w:t>the</w:t>
      </w:r>
      <w:r>
        <w:rPr>
          <w:color w:val="2F5496"/>
          <w:spacing w:val="-11"/>
        </w:rPr>
        <w:t xml:space="preserve"> </w:t>
      </w:r>
      <w:r>
        <w:rPr>
          <w:color w:val="2F5496"/>
          <w:spacing w:val="-3"/>
        </w:rPr>
        <w:t>Supplemental</w:t>
      </w:r>
      <w:r>
        <w:rPr>
          <w:color w:val="2F5496"/>
          <w:spacing w:val="-11"/>
        </w:rPr>
        <w:t xml:space="preserve"> </w:t>
      </w:r>
      <w:r>
        <w:rPr>
          <w:color w:val="2F5496"/>
        </w:rPr>
        <w:t xml:space="preserve">Allocation, and </w:t>
      </w:r>
      <w:r>
        <w:rPr>
          <w:color w:val="2F5496"/>
          <w:spacing w:val="-3"/>
        </w:rPr>
        <w:t xml:space="preserve">10% </w:t>
      </w:r>
      <w:r>
        <w:rPr>
          <w:color w:val="2F5496"/>
        </w:rPr>
        <w:t xml:space="preserve">from the </w:t>
      </w:r>
      <w:r>
        <w:rPr>
          <w:color w:val="2F5496"/>
          <w:spacing w:val="-3"/>
        </w:rPr>
        <w:t xml:space="preserve">Student </w:t>
      </w:r>
      <w:r>
        <w:rPr>
          <w:color w:val="2F5496"/>
        </w:rPr>
        <w:t>Success Allocation in</w:t>
      </w:r>
      <w:r>
        <w:rPr>
          <w:color w:val="2F5496"/>
          <w:spacing w:val="-30"/>
        </w:rPr>
        <w:t xml:space="preserve"> </w:t>
      </w:r>
      <w:r>
        <w:rPr>
          <w:color w:val="2F5496"/>
          <w:spacing w:val="-3"/>
        </w:rPr>
        <w:t>2018-19?</w:t>
      </w:r>
    </w:p>
    <w:p w14:paraId="2B62CB5B" w14:textId="77777777" w:rsidR="005C02D7" w:rsidRDefault="00932F6C">
      <w:pPr>
        <w:pStyle w:val="BodyText"/>
        <w:ind w:left="120" w:right="361"/>
      </w:pPr>
      <w:r>
        <w:t>It is not necessarily true that an individual district will receive its funding in the 70% 20% 10% proportion. While the systemwide budget is being divided in this manner, the composition of individual districts’ funding allocations will differ based on each one’s own unique conditions and</w:t>
      </w:r>
      <w:r>
        <w:rPr>
          <w:spacing w:val="-1"/>
        </w:rPr>
        <w:t xml:space="preserve"> </w:t>
      </w:r>
      <w:r>
        <w:t>composition.</w:t>
      </w:r>
    </w:p>
    <w:p w14:paraId="2B62CB5C" w14:textId="77777777" w:rsidR="005C02D7" w:rsidRDefault="00932F6C">
      <w:pPr>
        <w:pStyle w:val="Heading3"/>
        <w:numPr>
          <w:ilvl w:val="0"/>
          <w:numId w:val="1"/>
        </w:numPr>
        <w:tabs>
          <w:tab w:val="left" w:pos="471"/>
        </w:tabs>
        <w:spacing w:line="240" w:lineRule="auto"/>
        <w:ind w:left="120" w:right="754" w:firstLine="0"/>
      </w:pPr>
      <w:bookmarkStart w:id="43" w:name="19._How_will_the_new_funding_formula_aff"/>
      <w:bookmarkStart w:id="44" w:name="_bookmark21"/>
      <w:bookmarkEnd w:id="43"/>
      <w:bookmarkEnd w:id="44"/>
      <w:r>
        <w:rPr>
          <w:color w:val="2F5496"/>
        </w:rPr>
        <w:t>How</w:t>
      </w:r>
      <w:r>
        <w:rPr>
          <w:color w:val="2F5496"/>
          <w:spacing w:val="-10"/>
        </w:rPr>
        <w:t xml:space="preserve"> </w:t>
      </w:r>
      <w:r>
        <w:rPr>
          <w:color w:val="2F5496"/>
        </w:rPr>
        <w:t>will</w:t>
      </w:r>
      <w:r>
        <w:rPr>
          <w:color w:val="2F5496"/>
          <w:spacing w:val="-8"/>
        </w:rPr>
        <w:t xml:space="preserve"> </w:t>
      </w:r>
      <w:r>
        <w:rPr>
          <w:color w:val="2F5496"/>
        </w:rPr>
        <w:t>the</w:t>
      </w:r>
      <w:r>
        <w:rPr>
          <w:color w:val="2F5496"/>
          <w:spacing w:val="-9"/>
        </w:rPr>
        <w:t xml:space="preserve"> </w:t>
      </w:r>
      <w:r>
        <w:rPr>
          <w:color w:val="2F5496"/>
          <w:spacing w:val="-3"/>
        </w:rPr>
        <w:t>new</w:t>
      </w:r>
      <w:r>
        <w:rPr>
          <w:color w:val="2F5496"/>
          <w:spacing w:val="-9"/>
        </w:rPr>
        <w:t xml:space="preserve"> </w:t>
      </w:r>
      <w:r>
        <w:rPr>
          <w:color w:val="2F5496"/>
          <w:spacing w:val="-3"/>
        </w:rPr>
        <w:t>funding</w:t>
      </w:r>
      <w:r>
        <w:rPr>
          <w:color w:val="2F5496"/>
          <w:spacing w:val="-10"/>
        </w:rPr>
        <w:t xml:space="preserve"> </w:t>
      </w:r>
      <w:r>
        <w:rPr>
          <w:color w:val="2F5496"/>
          <w:spacing w:val="-3"/>
        </w:rPr>
        <w:t>formula</w:t>
      </w:r>
      <w:r>
        <w:rPr>
          <w:color w:val="2F5496"/>
          <w:spacing w:val="-11"/>
        </w:rPr>
        <w:t xml:space="preserve"> </w:t>
      </w:r>
      <w:r>
        <w:rPr>
          <w:color w:val="2F5496"/>
        </w:rPr>
        <w:t>affect</w:t>
      </w:r>
      <w:r>
        <w:rPr>
          <w:color w:val="2F5496"/>
          <w:spacing w:val="-8"/>
        </w:rPr>
        <w:t xml:space="preserve"> </w:t>
      </w:r>
      <w:r>
        <w:rPr>
          <w:color w:val="2F5496"/>
        </w:rPr>
        <w:t>the</w:t>
      </w:r>
      <w:r>
        <w:rPr>
          <w:color w:val="2F5496"/>
          <w:spacing w:val="-8"/>
        </w:rPr>
        <w:t xml:space="preserve"> </w:t>
      </w:r>
      <w:r>
        <w:rPr>
          <w:color w:val="2F5496"/>
        </w:rPr>
        <w:t>distribution</w:t>
      </w:r>
      <w:r>
        <w:rPr>
          <w:color w:val="2F5496"/>
          <w:spacing w:val="-13"/>
        </w:rPr>
        <w:t xml:space="preserve"> </w:t>
      </w:r>
      <w:r>
        <w:rPr>
          <w:color w:val="2F5496"/>
        </w:rPr>
        <w:t>of</w:t>
      </w:r>
      <w:r>
        <w:rPr>
          <w:color w:val="2F5496"/>
          <w:spacing w:val="-9"/>
        </w:rPr>
        <w:t xml:space="preserve"> </w:t>
      </w:r>
      <w:r>
        <w:rPr>
          <w:color w:val="2F5496"/>
        </w:rPr>
        <w:t>funding</w:t>
      </w:r>
      <w:r>
        <w:rPr>
          <w:color w:val="2F5496"/>
          <w:spacing w:val="-12"/>
        </w:rPr>
        <w:t xml:space="preserve"> </w:t>
      </w:r>
      <w:r>
        <w:rPr>
          <w:color w:val="2F5496"/>
        </w:rPr>
        <w:t>from</w:t>
      </w:r>
      <w:r>
        <w:rPr>
          <w:color w:val="2F5496"/>
          <w:spacing w:val="-10"/>
        </w:rPr>
        <w:t xml:space="preserve"> </w:t>
      </w:r>
      <w:r>
        <w:rPr>
          <w:color w:val="2F5496"/>
        </w:rPr>
        <w:t>a</w:t>
      </w:r>
      <w:r>
        <w:rPr>
          <w:color w:val="2F5496"/>
          <w:spacing w:val="-8"/>
        </w:rPr>
        <w:t xml:space="preserve"> </w:t>
      </w:r>
      <w:r>
        <w:rPr>
          <w:color w:val="2F5496"/>
        </w:rPr>
        <w:t>district</w:t>
      </w:r>
      <w:r>
        <w:rPr>
          <w:color w:val="2F5496"/>
          <w:spacing w:val="-10"/>
        </w:rPr>
        <w:t xml:space="preserve"> </w:t>
      </w:r>
      <w:r>
        <w:rPr>
          <w:color w:val="2F5496"/>
        </w:rPr>
        <w:t>to</w:t>
      </w:r>
      <w:r>
        <w:rPr>
          <w:color w:val="2F5496"/>
          <w:spacing w:val="-8"/>
        </w:rPr>
        <w:t xml:space="preserve"> </w:t>
      </w:r>
      <w:r>
        <w:rPr>
          <w:color w:val="2F5496"/>
        </w:rPr>
        <w:t>colleges</w:t>
      </w:r>
      <w:r>
        <w:rPr>
          <w:color w:val="2F5496"/>
          <w:spacing w:val="-9"/>
        </w:rPr>
        <w:t xml:space="preserve"> </w:t>
      </w:r>
      <w:r>
        <w:rPr>
          <w:color w:val="2F5496"/>
        </w:rPr>
        <w:t>in</w:t>
      </w:r>
      <w:r>
        <w:rPr>
          <w:color w:val="2F5496"/>
          <w:spacing w:val="-13"/>
        </w:rPr>
        <w:t xml:space="preserve"> </w:t>
      </w:r>
      <w:r>
        <w:rPr>
          <w:color w:val="2F5496"/>
        </w:rPr>
        <w:t>a</w:t>
      </w:r>
      <w:r>
        <w:rPr>
          <w:color w:val="2F5496"/>
          <w:spacing w:val="-8"/>
        </w:rPr>
        <w:t xml:space="preserve"> </w:t>
      </w:r>
      <w:r>
        <w:rPr>
          <w:color w:val="2F5496"/>
        </w:rPr>
        <w:t>multi- college</w:t>
      </w:r>
      <w:r>
        <w:rPr>
          <w:color w:val="2F5496"/>
          <w:spacing w:val="-4"/>
        </w:rPr>
        <w:t xml:space="preserve"> </w:t>
      </w:r>
      <w:r>
        <w:rPr>
          <w:color w:val="2F5496"/>
        </w:rPr>
        <w:t>district?</w:t>
      </w:r>
    </w:p>
    <w:p w14:paraId="2B62CB5D" w14:textId="77777777" w:rsidR="005C02D7" w:rsidRDefault="00932F6C">
      <w:pPr>
        <w:pStyle w:val="BodyText"/>
        <w:ind w:left="120" w:right="205"/>
      </w:pPr>
      <w:r>
        <w:t>The SCFF establishes the level of funding each district will receive but does not contain provisions regarding the distribution of funds from the district level to the college level as authority for those decisions are retained at the district. However, the Chancellor’s Office will recommend that districts continue to divide funds equitably among their colleges.</w:t>
      </w:r>
    </w:p>
    <w:p w14:paraId="2B62CB5E" w14:textId="77777777" w:rsidR="005C02D7" w:rsidRDefault="00932F6C">
      <w:pPr>
        <w:pStyle w:val="Heading3"/>
        <w:numPr>
          <w:ilvl w:val="0"/>
          <w:numId w:val="1"/>
        </w:numPr>
        <w:tabs>
          <w:tab w:val="left" w:pos="471"/>
        </w:tabs>
        <w:spacing w:before="161" w:line="240" w:lineRule="auto"/>
        <w:ind w:left="120" w:right="283" w:firstLine="0"/>
      </w:pPr>
      <w:bookmarkStart w:id="45" w:name="20._What_happens_in_the_years_when_state"/>
      <w:bookmarkStart w:id="46" w:name="_bookmark22"/>
      <w:bookmarkEnd w:id="45"/>
      <w:bookmarkEnd w:id="46"/>
      <w:r>
        <w:rPr>
          <w:color w:val="2F5496"/>
          <w:spacing w:val="-3"/>
        </w:rPr>
        <w:t>What</w:t>
      </w:r>
      <w:r>
        <w:rPr>
          <w:color w:val="2F5496"/>
          <w:spacing w:val="-4"/>
        </w:rPr>
        <w:t xml:space="preserve"> </w:t>
      </w:r>
      <w:r>
        <w:rPr>
          <w:color w:val="2F5496"/>
          <w:spacing w:val="-3"/>
        </w:rPr>
        <w:t>happens</w:t>
      </w:r>
      <w:r>
        <w:rPr>
          <w:color w:val="2F5496"/>
          <w:spacing w:val="-6"/>
        </w:rPr>
        <w:t xml:space="preserve"> </w:t>
      </w:r>
      <w:r>
        <w:rPr>
          <w:color w:val="2F5496"/>
        </w:rPr>
        <w:t>in</w:t>
      </w:r>
      <w:r>
        <w:rPr>
          <w:color w:val="2F5496"/>
          <w:spacing w:val="-6"/>
        </w:rPr>
        <w:t xml:space="preserve"> </w:t>
      </w:r>
      <w:r>
        <w:rPr>
          <w:color w:val="2F5496"/>
        </w:rPr>
        <w:t>the</w:t>
      </w:r>
      <w:r>
        <w:rPr>
          <w:color w:val="2F5496"/>
          <w:spacing w:val="-5"/>
        </w:rPr>
        <w:t xml:space="preserve"> </w:t>
      </w:r>
      <w:r>
        <w:rPr>
          <w:color w:val="2F5496"/>
        </w:rPr>
        <w:t>years</w:t>
      </w:r>
      <w:r>
        <w:rPr>
          <w:color w:val="2F5496"/>
          <w:spacing w:val="-5"/>
        </w:rPr>
        <w:t xml:space="preserve"> </w:t>
      </w:r>
      <w:r>
        <w:rPr>
          <w:color w:val="2F5496"/>
          <w:spacing w:val="-3"/>
        </w:rPr>
        <w:t>when</w:t>
      </w:r>
      <w:r>
        <w:rPr>
          <w:color w:val="2F5496"/>
          <w:spacing w:val="-6"/>
        </w:rPr>
        <w:t xml:space="preserve"> </w:t>
      </w:r>
      <w:r>
        <w:rPr>
          <w:color w:val="2F5496"/>
          <w:spacing w:val="-3"/>
        </w:rPr>
        <w:t>state</w:t>
      </w:r>
      <w:r>
        <w:rPr>
          <w:color w:val="2F5496"/>
          <w:spacing w:val="-5"/>
        </w:rPr>
        <w:t xml:space="preserve"> </w:t>
      </w:r>
      <w:r>
        <w:rPr>
          <w:color w:val="2F5496"/>
        </w:rPr>
        <w:t>funding</w:t>
      </w:r>
      <w:r>
        <w:rPr>
          <w:color w:val="2F5496"/>
          <w:spacing w:val="-8"/>
        </w:rPr>
        <w:t xml:space="preserve"> </w:t>
      </w:r>
      <w:r>
        <w:rPr>
          <w:color w:val="2F5496"/>
        </w:rPr>
        <w:t>for</w:t>
      </w:r>
      <w:r>
        <w:rPr>
          <w:color w:val="2F5496"/>
          <w:spacing w:val="-5"/>
        </w:rPr>
        <w:t xml:space="preserve"> </w:t>
      </w:r>
      <w:r>
        <w:rPr>
          <w:color w:val="2F5496"/>
        </w:rPr>
        <w:t>the</w:t>
      </w:r>
      <w:r>
        <w:rPr>
          <w:color w:val="2F5496"/>
          <w:spacing w:val="-4"/>
        </w:rPr>
        <w:t xml:space="preserve"> </w:t>
      </w:r>
      <w:r>
        <w:rPr>
          <w:color w:val="2F5496"/>
          <w:spacing w:val="-2"/>
        </w:rPr>
        <w:t>system</w:t>
      </w:r>
      <w:r>
        <w:rPr>
          <w:color w:val="2F5496"/>
          <w:spacing w:val="-7"/>
        </w:rPr>
        <w:t xml:space="preserve"> </w:t>
      </w:r>
      <w:r>
        <w:rPr>
          <w:color w:val="2F5496"/>
        </w:rPr>
        <w:t>is</w:t>
      </w:r>
      <w:r>
        <w:rPr>
          <w:color w:val="2F5496"/>
          <w:spacing w:val="-6"/>
        </w:rPr>
        <w:t xml:space="preserve"> </w:t>
      </w:r>
      <w:r>
        <w:rPr>
          <w:color w:val="2F5496"/>
          <w:spacing w:val="-3"/>
        </w:rPr>
        <w:t>cut</w:t>
      </w:r>
      <w:r>
        <w:rPr>
          <w:color w:val="2F5496"/>
          <w:spacing w:val="-4"/>
        </w:rPr>
        <w:t xml:space="preserve"> </w:t>
      </w:r>
      <w:r>
        <w:rPr>
          <w:color w:val="2F5496"/>
          <w:spacing w:val="-3"/>
        </w:rPr>
        <w:t>(recessions)?</w:t>
      </w:r>
      <w:r>
        <w:rPr>
          <w:color w:val="2F5496"/>
          <w:spacing w:val="-6"/>
        </w:rPr>
        <w:t xml:space="preserve"> </w:t>
      </w:r>
      <w:r>
        <w:rPr>
          <w:color w:val="2F5496"/>
        </w:rPr>
        <w:t>Will</w:t>
      </w:r>
      <w:r>
        <w:rPr>
          <w:color w:val="2F5496"/>
          <w:spacing w:val="-4"/>
        </w:rPr>
        <w:t xml:space="preserve"> </w:t>
      </w:r>
      <w:r>
        <w:rPr>
          <w:color w:val="2F5496"/>
        </w:rPr>
        <w:t>all</w:t>
      </w:r>
      <w:r>
        <w:rPr>
          <w:color w:val="2F5496"/>
          <w:spacing w:val="-4"/>
        </w:rPr>
        <w:t xml:space="preserve"> </w:t>
      </w:r>
      <w:r>
        <w:rPr>
          <w:color w:val="2F5496"/>
        </w:rPr>
        <w:t>districts</w:t>
      </w:r>
      <w:r>
        <w:rPr>
          <w:color w:val="2F5496"/>
          <w:spacing w:val="-6"/>
        </w:rPr>
        <w:t xml:space="preserve"> </w:t>
      </w:r>
      <w:r>
        <w:rPr>
          <w:color w:val="2F5496"/>
          <w:spacing w:val="-3"/>
        </w:rPr>
        <w:t>be</w:t>
      </w:r>
      <w:r>
        <w:rPr>
          <w:color w:val="2F5496"/>
          <w:spacing w:val="-5"/>
        </w:rPr>
        <w:t xml:space="preserve"> </w:t>
      </w:r>
      <w:r>
        <w:rPr>
          <w:color w:val="2F5496"/>
          <w:spacing w:val="-2"/>
        </w:rPr>
        <w:t xml:space="preserve">reduced </w:t>
      </w:r>
      <w:r>
        <w:rPr>
          <w:color w:val="2F5496"/>
          <w:spacing w:val="-3"/>
        </w:rPr>
        <w:t>proportionately?</w:t>
      </w:r>
      <w:r>
        <w:rPr>
          <w:color w:val="2F5496"/>
          <w:spacing w:val="-4"/>
        </w:rPr>
        <w:t xml:space="preserve"> </w:t>
      </w:r>
      <w:r>
        <w:rPr>
          <w:color w:val="2F5496"/>
        </w:rPr>
        <w:t>Is</w:t>
      </w:r>
      <w:r>
        <w:rPr>
          <w:color w:val="2F5496"/>
          <w:spacing w:val="-4"/>
        </w:rPr>
        <w:t xml:space="preserve"> </w:t>
      </w:r>
      <w:r>
        <w:rPr>
          <w:color w:val="2F5496"/>
        </w:rPr>
        <w:t>there</w:t>
      </w:r>
      <w:r>
        <w:rPr>
          <w:color w:val="2F5496"/>
          <w:spacing w:val="-5"/>
        </w:rPr>
        <w:t xml:space="preserve"> </w:t>
      </w:r>
      <w:r>
        <w:rPr>
          <w:color w:val="2F5496"/>
        </w:rPr>
        <w:t>a</w:t>
      </w:r>
      <w:r>
        <w:rPr>
          <w:color w:val="2F5496"/>
          <w:spacing w:val="-2"/>
        </w:rPr>
        <w:t xml:space="preserve"> </w:t>
      </w:r>
      <w:r>
        <w:rPr>
          <w:color w:val="2F5496"/>
          <w:spacing w:val="-3"/>
        </w:rPr>
        <w:t>mechanism</w:t>
      </w:r>
      <w:r>
        <w:rPr>
          <w:color w:val="2F5496"/>
          <w:spacing w:val="-5"/>
        </w:rPr>
        <w:t xml:space="preserve"> </w:t>
      </w:r>
      <w:r>
        <w:rPr>
          <w:color w:val="2F5496"/>
        </w:rPr>
        <w:t>in</w:t>
      </w:r>
      <w:r>
        <w:rPr>
          <w:color w:val="2F5496"/>
          <w:spacing w:val="-8"/>
        </w:rPr>
        <w:t xml:space="preserve"> </w:t>
      </w:r>
      <w:r>
        <w:rPr>
          <w:color w:val="2F5496"/>
        </w:rPr>
        <w:t>this</w:t>
      </w:r>
      <w:r>
        <w:rPr>
          <w:color w:val="2F5496"/>
          <w:spacing w:val="-5"/>
        </w:rPr>
        <w:t xml:space="preserve"> </w:t>
      </w:r>
      <w:r>
        <w:rPr>
          <w:color w:val="2F5496"/>
          <w:spacing w:val="-3"/>
        </w:rPr>
        <w:t>funding</w:t>
      </w:r>
      <w:r>
        <w:rPr>
          <w:color w:val="2F5496"/>
          <w:spacing w:val="-4"/>
        </w:rPr>
        <w:t xml:space="preserve"> </w:t>
      </w:r>
      <w:r>
        <w:rPr>
          <w:color w:val="2F5496"/>
        </w:rPr>
        <w:t>formula</w:t>
      </w:r>
      <w:r>
        <w:rPr>
          <w:color w:val="2F5496"/>
          <w:spacing w:val="-2"/>
        </w:rPr>
        <w:t xml:space="preserve"> </w:t>
      </w:r>
      <w:r>
        <w:rPr>
          <w:color w:val="2F5496"/>
        </w:rPr>
        <w:t>to</w:t>
      </w:r>
      <w:r>
        <w:rPr>
          <w:color w:val="2F5496"/>
          <w:spacing w:val="-5"/>
        </w:rPr>
        <w:t xml:space="preserve"> </w:t>
      </w:r>
      <w:r>
        <w:rPr>
          <w:color w:val="2F5496"/>
          <w:spacing w:val="-3"/>
        </w:rPr>
        <w:t xml:space="preserve">account </w:t>
      </w:r>
      <w:r>
        <w:rPr>
          <w:color w:val="2F5496"/>
        </w:rPr>
        <w:t>for</w:t>
      </w:r>
      <w:r>
        <w:rPr>
          <w:color w:val="2F5496"/>
          <w:spacing w:val="-6"/>
        </w:rPr>
        <w:t xml:space="preserve"> </w:t>
      </w:r>
      <w:r>
        <w:rPr>
          <w:color w:val="2F5496"/>
        </w:rPr>
        <w:t>this?</w:t>
      </w:r>
    </w:p>
    <w:p w14:paraId="2B62CB5F" w14:textId="77777777" w:rsidR="005C02D7" w:rsidRDefault="00932F6C">
      <w:pPr>
        <w:pStyle w:val="BodyText"/>
        <w:ind w:left="120"/>
      </w:pPr>
      <w:r>
        <w:t>Districts will be proportionately reduced should the community college system experience funding cuts. This type of reduction is no different under the SCFF than it was under the prior funding formula.</w:t>
      </w:r>
    </w:p>
    <w:p w14:paraId="2B62CB60" w14:textId="77777777" w:rsidR="005C02D7" w:rsidRDefault="00932F6C">
      <w:pPr>
        <w:pStyle w:val="Heading3"/>
        <w:numPr>
          <w:ilvl w:val="0"/>
          <w:numId w:val="1"/>
        </w:numPr>
        <w:tabs>
          <w:tab w:val="left" w:pos="471"/>
        </w:tabs>
        <w:spacing w:line="240" w:lineRule="auto"/>
        <w:ind w:left="120" w:right="1186" w:firstLine="0"/>
      </w:pPr>
      <w:bookmarkStart w:id="47" w:name="21._The_community_college_system_is_faci"/>
      <w:bookmarkStart w:id="48" w:name="_bookmark23"/>
      <w:bookmarkEnd w:id="47"/>
      <w:bookmarkEnd w:id="48"/>
      <w:r>
        <w:rPr>
          <w:color w:val="2F5496"/>
        </w:rPr>
        <w:t>The</w:t>
      </w:r>
      <w:r>
        <w:rPr>
          <w:color w:val="2F5496"/>
          <w:spacing w:val="-9"/>
        </w:rPr>
        <w:t xml:space="preserve"> </w:t>
      </w:r>
      <w:r>
        <w:rPr>
          <w:color w:val="2F5496"/>
          <w:spacing w:val="-3"/>
        </w:rPr>
        <w:t>community</w:t>
      </w:r>
      <w:r>
        <w:rPr>
          <w:color w:val="2F5496"/>
          <w:spacing w:val="-8"/>
        </w:rPr>
        <w:t xml:space="preserve"> </w:t>
      </w:r>
      <w:r>
        <w:rPr>
          <w:color w:val="2F5496"/>
          <w:spacing w:val="-3"/>
        </w:rPr>
        <w:t>college</w:t>
      </w:r>
      <w:r>
        <w:rPr>
          <w:color w:val="2F5496"/>
          <w:spacing w:val="-8"/>
        </w:rPr>
        <w:t xml:space="preserve"> </w:t>
      </w:r>
      <w:r>
        <w:rPr>
          <w:color w:val="2F5496"/>
          <w:spacing w:val="-2"/>
        </w:rPr>
        <w:t>system</w:t>
      </w:r>
      <w:r>
        <w:rPr>
          <w:color w:val="2F5496"/>
          <w:spacing w:val="-11"/>
        </w:rPr>
        <w:t xml:space="preserve"> </w:t>
      </w:r>
      <w:r>
        <w:rPr>
          <w:color w:val="2F5496"/>
        </w:rPr>
        <w:t>is</w:t>
      </w:r>
      <w:r>
        <w:rPr>
          <w:color w:val="2F5496"/>
          <w:spacing w:val="-9"/>
        </w:rPr>
        <w:t xml:space="preserve"> </w:t>
      </w:r>
      <w:r>
        <w:rPr>
          <w:color w:val="2F5496"/>
        </w:rPr>
        <w:t>facing</w:t>
      </w:r>
      <w:r>
        <w:rPr>
          <w:color w:val="2F5496"/>
          <w:spacing w:val="-10"/>
        </w:rPr>
        <w:t xml:space="preserve"> </w:t>
      </w:r>
      <w:r>
        <w:rPr>
          <w:color w:val="2F5496"/>
        </w:rPr>
        <w:t>soaring</w:t>
      </w:r>
      <w:r>
        <w:rPr>
          <w:color w:val="2F5496"/>
          <w:spacing w:val="-9"/>
        </w:rPr>
        <w:t xml:space="preserve"> </w:t>
      </w:r>
      <w:r>
        <w:rPr>
          <w:color w:val="2F5496"/>
        </w:rPr>
        <w:t>pension</w:t>
      </w:r>
      <w:r>
        <w:rPr>
          <w:color w:val="2F5496"/>
          <w:spacing w:val="-9"/>
        </w:rPr>
        <w:t xml:space="preserve"> </w:t>
      </w:r>
      <w:r>
        <w:rPr>
          <w:color w:val="2F5496"/>
        </w:rPr>
        <w:t>costs</w:t>
      </w:r>
      <w:r>
        <w:rPr>
          <w:color w:val="2F5496"/>
          <w:spacing w:val="-12"/>
        </w:rPr>
        <w:t xml:space="preserve"> </w:t>
      </w:r>
      <w:r>
        <w:rPr>
          <w:color w:val="2F5496"/>
        </w:rPr>
        <w:t>and</w:t>
      </w:r>
      <w:r>
        <w:rPr>
          <w:color w:val="2F5496"/>
          <w:spacing w:val="-12"/>
        </w:rPr>
        <w:t xml:space="preserve"> </w:t>
      </w:r>
      <w:r>
        <w:rPr>
          <w:color w:val="2F5496"/>
        </w:rPr>
        <w:t>overall</w:t>
      </w:r>
      <w:r>
        <w:rPr>
          <w:color w:val="2F5496"/>
          <w:spacing w:val="-9"/>
        </w:rPr>
        <w:t xml:space="preserve"> </w:t>
      </w:r>
      <w:r>
        <w:rPr>
          <w:color w:val="2F5496"/>
          <w:spacing w:val="-3"/>
        </w:rPr>
        <w:t>enrollment</w:t>
      </w:r>
      <w:r>
        <w:rPr>
          <w:color w:val="2F5496"/>
          <w:spacing w:val="-8"/>
        </w:rPr>
        <w:t xml:space="preserve"> </w:t>
      </w:r>
      <w:r>
        <w:rPr>
          <w:color w:val="2F5496"/>
        </w:rPr>
        <w:t>decline,</w:t>
      </w:r>
      <w:r>
        <w:rPr>
          <w:color w:val="2F5496"/>
          <w:spacing w:val="-8"/>
        </w:rPr>
        <w:t xml:space="preserve"> </w:t>
      </w:r>
      <w:r>
        <w:rPr>
          <w:color w:val="2F5496"/>
        </w:rPr>
        <w:t xml:space="preserve">while </w:t>
      </w:r>
      <w:r>
        <w:rPr>
          <w:color w:val="2F5496"/>
          <w:spacing w:val="-3"/>
        </w:rPr>
        <w:t xml:space="preserve">simultaneously being </w:t>
      </w:r>
      <w:r>
        <w:rPr>
          <w:color w:val="2F5496"/>
        </w:rPr>
        <w:t xml:space="preserve">asked to </w:t>
      </w:r>
      <w:r>
        <w:rPr>
          <w:color w:val="2F5496"/>
          <w:spacing w:val="-3"/>
        </w:rPr>
        <w:t xml:space="preserve">increase </w:t>
      </w:r>
      <w:r>
        <w:rPr>
          <w:color w:val="2F5496"/>
        </w:rPr>
        <w:t xml:space="preserve">services and </w:t>
      </w:r>
      <w:r>
        <w:rPr>
          <w:color w:val="2F5496"/>
          <w:spacing w:val="-3"/>
        </w:rPr>
        <w:t xml:space="preserve">support </w:t>
      </w:r>
      <w:r>
        <w:rPr>
          <w:color w:val="2F5496"/>
        </w:rPr>
        <w:t xml:space="preserve">for </w:t>
      </w:r>
      <w:r>
        <w:rPr>
          <w:color w:val="2F5496"/>
          <w:spacing w:val="-3"/>
        </w:rPr>
        <w:t>students.</w:t>
      </w:r>
      <w:r>
        <w:rPr>
          <w:color w:val="2F5496"/>
          <w:spacing w:val="-1"/>
        </w:rPr>
        <w:t xml:space="preserve"> </w:t>
      </w:r>
      <w:r>
        <w:rPr>
          <w:color w:val="2F5496"/>
        </w:rPr>
        <w:t xml:space="preserve">How does the SCFF </w:t>
      </w:r>
      <w:r>
        <w:rPr>
          <w:color w:val="2F5496"/>
          <w:spacing w:val="-3"/>
        </w:rPr>
        <w:t>help?</w:t>
      </w:r>
    </w:p>
    <w:p w14:paraId="2B62CB61" w14:textId="77777777" w:rsidR="005C02D7" w:rsidRDefault="00932F6C">
      <w:pPr>
        <w:pStyle w:val="BodyText"/>
        <w:ind w:right="103"/>
      </w:pPr>
      <w:r>
        <w:t>The SCFF was created to help address declining enrollment by providing a mechanism for districts to receive funding increases despite enrollment declines. By partly funding districts based on the successful outcomes of their current students, the SCFF allows districts to influence their future funding levels by investing in the services and supports that are targeted at helping students achieve their goals. The SCFF provides additional funding for districts that enroll and achieve successful outcomes for low-income students enabling colleges to increase services, such as financial aid counseling, that are especially needed by these student populations.</w:t>
      </w:r>
    </w:p>
    <w:p w14:paraId="2B62CB62" w14:textId="77777777" w:rsidR="005C02D7" w:rsidRDefault="005C02D7">
      <w:pPr>
        <w:pStyle w:val="BodyText"/>
        <w:spacing w:before="7"/>
        <w:ind w:left="0"/>
        <w:rPr>
          <w:sz w:val="19"/>
        </w:rPr>
      </w:pPr>
    </w:p>
    <w:p w14:paraId="2B62CB63" w14:textId="7F55DA41" w:rsidR="005C02D7" w:rsidRDefault="00932F6C">
      <w:pPr>
        <w:pStyle w:val="Heading2"/>
      </w:pPr>
      <w:bookmarkStart w:id="49" w:name="Accountability_and_Reporting_Process"/>
      <w:bookmarkStart w:id="50" w:name="_bookmark24"/>
      <w:bookmarkEnd w:id="49"/>
      <w:bookmarkEnd w:id="50"/>
      <w:r>
        <w:rPr>
          <w:color w:val="44546A"/>
        </w:rPr>
        <w:t>Accountability and Reporting Process</w:t>
      </w:r>
    </w:p>
    <w:p w14:paraId="2B62CB64" w14:textId="77777777" w:rsidR="005C02D7" w:rsidRDefault="00932F6C">
      <w:pPr>
        <w:pStyle w:val="Heading3"/>
        <w:numPr>
          <w:ilvl w:val="0"/>
          <w:numId w:val="1"/>
        </w:numPr>
        <w:tabs>
          <w:tab w:val="left" w:pos="471"/>
        </w:tabs>
        <w:spacing w:before="63" w:line="292" w:lineRule="exact"/>
        <w:ind w:left="470" w:hanging="350"/>
      </w:pPr>
      <w:bookmarkStart w:id="51" w:name="22._What_is_the_role_of_the_Chancellor’s"/>
      <w:bookmarkStart w:id="52" w:name="_bookmark25"/>
      <w:bookmarkEnd w:id="51"/>
      <w:bookmarkEnd w:id="52"/>
      <w:r>
        <w:rPr>
          <w:color w:val="2F5496"/>
          <w:spacing w:val="-3"/>
        </w:rPr>
        <w:t xml:space="preserve">What </w:t>
      </w:r>
      <w:r>
        <w:rPr>
          <w:color w:val="2F5496"/>
        </w:rPr>
        <w:t xml:space="preserve">is the role of the </w:t>
      </w:r>
      <w:r>
        <w:rPr>
          <w:color w:val="2F5496"/>
          <w:spacing w:val="-3"/>
        </w:rPr>
        <w:t>Chancellor’s</w:t>
      </w:r>
      <w:r>
        <w:rPr>
          <w:color w:val="2F5496"/>
          <w:spacing w:val="-27"/>
        </w:rPr>
        <w:t xml:space="preserve"> </w:t>
      </w:r>
      <w:r>
        <w:rPr>
          <w:color w:val="2F5496"/>
        </w:rPr>
        <w:t>Office?</w:t>
      </w:r>
    </w:p>
    <w:p w14:paraId="2B62CB65" w14:textId="77777777" w:rsidR="005C02D7" w:rsidRDefault="00932F6C">
      <w:pPr>
        <w:pStyle w:val="BodyText"/>
        <w:ind w:right="159"/>
      </w:pPr>
      <w:r>
        <w:t xml:space="preserve">The Chancellor’s Office will provide guidance and support to districts as they shift to the SCFF and as they seek to align their goals to the </w:t>
      </w:r>
      <w:r>
        <w:rPr>
          <w:i/>
        </w:rPr>
        <w:t>Vision for Success</w:t>
      </w:r>
      <w:r>
        <w:t>. The Chancellor’s Office will be holding workshops on the budget on August 13 and 15 to inform district and college staff about the major budgetary items for the community colleges including the SCFF.</w:t>
      </w:r>
    </w:p>
    <w:p w14:paraId="2B62CB66" w14:textId="77777777" w:rsidR="005C02D7" w:rsidRDefault="00932F6C">
      <w:pPr>
        <w:pStyle w:val="Heading3"/>
        <w:numPr>
          <w:ilvl w:val="0"/>
          <w:numId w:val="1"/>
        </w:numPr>
        <w:tabs>
          <w:tab w:val="left" w:pos="471"/>
        </w:tabs>
        <w:spacing w:before="161" w:line="240" w:lineRule="auto"/>
        <w:ind w:left="120" w:right="180" w:firstLine="0"/>
      </w:pPr>
      <w:bookmarkStart w:id="53" w:name="23._Will_the_Chancellor’s_Office_be_send"/>
      <w:bookmarkStart w:id="54" w:name="_bookmark26"/>
      <w:bookmarkEnd w:id="53"/>
      <w:bookmarkEnd w:id="54"/>
      <w:r>
        <w:rPr>
          <w:color w:val="2F5496"/>
        </w:rPr>
        <w:t>Will</w:t>
      </w:r>
      <w:r>
        <w:rPr>
          <w:color w:val="2F5496"/>
          <w:spacing w:val="-5"/>
        </w:rPr>
        <w:t xml:space="preserve"> </w:t>
      </w:r>
      <w:r>
        <w:rPr>
          <w:color w:val="2F5496"/>
        </w:rPr>
        <w:t>the</w:t>
      </w:r>
      <w:r>
        <w:rPr>
          <w:color w:val="2F5496"/>
          <w:spacing w:val="-6"/>
        </w:rPr>
        <w:t xml:space="preserve"> </w:t>
      </w:r>
      <w:r>
        <w:rPr>
          <w:color w:val="2F5496"/>
          <w:spacing w:val="-3"/>
        </w:rPr>
        <w:t>Chancellor’s</w:t>
      </w:r>
      <w:r>
        <w:rPr>
          <w:color w:val="2F5496"/>
          <w:spacing w:val="-9"/>
        </w:rPr>
        <w:t xml:space="preserve"> </w:t>
      </w:r>
      <w:r>
        <w:rPr>
          <w:color w:val="2F5496"/>
        </w:rPr>
        <w:t>Office</w:t>
      </w:r>
      <w:r>
        <w:rPr>
          <w:color w:val="2F5496"/>
          <w:spacing w:val="-5"/>
        </w:rPr>
        <w:t xml:space="preserve"> </w:t>
      </w:r>
      <w:r>
        <w:rPr>
          <w:color w:val="2F5496"/>
        </w:rPr>
        <w:t>be</w:t>
      </w:r>
      <w:r>
        <w:rPr>
          <w:color w:val="2F5496"/>
          <w:spacing w:val="-6"/>
        </w:rPr>
        <w:t xml:space="preserve"> </w:t>
      </w:r>
      <w:r>
        <w:rPr>
          <w:color w:val="2F5496"/>
          <w:spacing w:val="-3"/>
        </w:rPr>
        <w:t>sending</w:t>
      </w:r>
      <w:r>
        <w:rPr>
          <w:color w:val="2F5496"/>
          <w:spacing w:val="-8"/>
        </w:rPr>
        <w:t xml:space="preserve"> </w:t>
      </w:r>
      <w:r>
        <w:rPr>
          <w:color w:val="2F5496"/>
        </w:rPr>
        <w:t>out</w:t>
      </w:r>
      <w:r>
        <w:rPr>
          <w:color w:val="2F5496"/>
          <w:spacing w:val="-5"/>
        </w:rPr>
        <w:t xml:space="preserve"> </w:t>
      </w:r>
      <w:r>
        <w:rPr>
          <w:color w:val="2F5496"/>
          <w:spacing w:val="-3"/>
        </w:rPr>
        <w:t>simulations</w:t>
      </w:r>
      <w:r>
        <w:rPr>
          <w:color w:val="2F5496"/>
          <w:spacing w:val="-7"/>
        </w:rPr>
        <w:t xml:space="preserve"> </w:t>
      </w:r>
      <w:r>
        <w:rPr>
          <w:color w:val="2F5496"/>
        </w:rPr>
        <w:t>for</w:t>
      </w:r>
      <w:r>
        <w:rPr>
          <w:color w:val="2F5496"/>
          <w:spacing w:val="-8"/>
        </w:rPr>
        <w:t xml:space="preserve"> </w:t>
      </w:r>
      <w:r>
        <w:rPr>
          <w:color w:val="2F5496"/>
        </w:rPr>
        <w:t>the</w:t>
      </w:r>
      <w:r>
        <w:rPr>
          <w:color w:val="2F5496"/>
          <w:spacing w:val="-8"/>
        </w:rPr>
        <w:t xml:space="preserve"> </w:t>
      </w:r>
      <w:r>
        <w:rPr>
          <w:color w:val="2F5496"/>
        </w:rPr>
        <w:t>funding</w:t>
      </w:r>
      <w:r>
        <w:rPr>
          <w:color w:val="2F5496"/>
          <w:spacing w:val="-9"/>
        </w:rPr>
        <w:t xml:space="preserve"> </w:t>
      </w:r>
      <w:r>
        <w:rPr>
          <w:color w:val="2F5496"/>
          <w:spacing w:val="-3"/>
        </w:rPr>
        <w:t>formula</w:t>
      </w:r>
      <w:r>
        <w:rPr>
          <w:color w:val="2F5496"/>
          <w:spacing w:val="-4"/>
        </w:rPr>
        <w:t xml:space="preserve"> </w:t>
      </w:r>
      <w:r>
        <w:rPr>
          <w:color w:val="2F5496"/>
        </w:rPr>
        <w:t>for</w:t>
      </w:r>
      <w:r>
        <w:rPr>
          <w:color w:val="2F5496"/>
          <w:spacing w:val="-6"/>
        </w:rPr>
        <w:t xml:space="preserve"> </w:t>
      </w:r>
      <w:r>
        <w:rPr>
          <w:color w:val="2F5496"/>
          <w:spacing w:val="-2"/>
        </w:rPr>
        <w:t>future</w:t>
      </w:r>
      <w:r>
        <w:rPr>
          <w:color w:val="2F5496"/>
          <w:spacing w:val="-6"/>
        </w:rPr>
        <w:t xml:space="preserve"> </w:t>
      </w:r>
      <w:r>
        <w:rPr>
          <w:color w:val="2F5496"/>
        </w:rPr>
        <w:t>years</w:t>
      </w:r>
      <w:r>
        <w:rPr>
          <w:color w:val="2F5496"/>
          <w:spacing w:val="-6"/>
        </w:rPr>
        <w:t xml:space="preserve"> </w:t>
      </w:r>
      <w:r>
        <w:rPr>
          <w:color w:val="2F5496"/>
        </w:rPr>
        <w:t>and</w:t>
      </w:r>
      <w:r>
        <w:rPr>
          <w:color w:val="2F5496"/>
          <w:spacing w:val="-7"/>
        </w:rPr>
        <w:t xml:space="preserve"> </w:t>
      </w:r>
      <w:r>
        <w:rPr>
          <w:color w:val="2F5496"/>
        </w:rPr>
        <w:t>if</w:t>
      </w:r>
      <w:r>
        <w:rPr>
          <w:color w:val="2F5496"/>
          <w:spacing w:val="-5"/>
        </w:rPr>
        <w:t xml:space="preserve"> </w:t>
      </w:r>
      <w:r>
        <w:rPr>
          <w:color w:val="2F5496"/>
        </w:rPr>
        <w:t>so</w:t>
      </w:r>
      <w:r>
        <w:rPr>
          <w:color w:val="2F5496"/>
          <w:spacing w:val="-7"/>
        </w:rPr>
        <w:t xml:space="preserve"> </w:t>
      </w:r>
      <w:r>
        <w:rPr>
          <w:color w:val="2F5496"/>
        </w:rPr>
        <w:t>when will this</w:t>
      </w:r>
      <w:r>
        <w:rPr>
          <w:color w:val="2F5496"/>
          <w:spacing w:val="-11"/>
        </w:rPr>
        <w:t xml:space="preserve"> </w:t>
      </w:r>
      <w:r>
        <w:rPr>
          <w:color w:val="2F5496"/>
        </w:rPr>
        <w:t>occur?</w:t>
      </w:r>
    </w:p>
    <w:p w14:paraId="2B62CB67" w14:textId="77777777" w:rsidR="005C02D7" w:rsidRDefault="00932F6C">
      <w:pPr>
        <w:pStyle w:val="BodyText"/>
        <w:ind w:left="120" w:right="232"/>
      </w:pPr>
      <w:r>
        <w:t>The Chancellor’s Office is in the process of calculating multiyear simulations for the new funding formula. We will be sharing these with districts and colleges after 2018-19 P1 Reports.</w:t>
      </w:r>
    </w:p>
    <w:p w14:paraId="2B62CB68" w14:textId="77777777" w:rsidR="005C02D7" w:rsidRDefault="005C02D7">
      <w:pPr>
        <w:sectPr w:rsidR="005C02D7">
          <w:pgSz w:w="12240" w:h="15840"/>
          <w:pgMar w:top="1140" w:right="600" w:bottom="540" w:left="600" w:header="311" w:footer="354" w:gutter="0"/>
          <w:cols w:space="720"/>
        </w:sectPr>
      </w:pPr>
    </w:p>
    <w:p w14:paraId="2B62CB69" w14:textId="77777777" w:rsidR="005C02D7" w:rsidRDefault="005C02D7">
      <w:pPr>
        <w:pStyle w:val="BodyText"/>
        <w:ind w:left="0"/>
        <w:rPr>
          <w:sz w:val="14"/>
        </w:rPr>
      </w:pPr>
    </w:p>
    <w:p w14:paraId="2B62CB6A" w14:textId="77777777" w:rsidR="005C02D7" w:rsidRDefault="00932F6C">
      <w:pPr>
        <w:pStyle w:val="Heading3"/>
        <w:numPr>
          <w:ilvl w:val="0"/>
          <w:numId w:val="1"/>
        </w:numPr>
        <w:tabs>
          <w:tab w:val="left" w:pos="471"/>
        </w:tabs>
        <w:spacing w:before="52" w:line="240" w:lineRule="auto"/>
        <w:ind w:left="120" w:right="473" w:firstLine="0"/>
      </w:pPr>
      <w:bookmarkStart w:id="55" w:name="24._What_data_and_accountability_reporti"/>
      <w:bookmarkStart w:id="56" w:name="_bookmark27"/>
      <w:bookmarkEnd w:id="55"/>
      <w:bookmarkEnd w:id="56"/>
      <w:r>
        <w:rPr>
          <w:color w:val="2F5496"/>
          <w:spacing w:val="-3"/>
        </w:rPr>
        <w:t>What</w:t>
      </w:r>
      <w:r>
        <w:rPr>
          <w:color w:val="2F5496"/>
          <w:spacing w:val="-5"/>
        </w:rPr>
        <w:t xml:space="preserve"> </w:t>
      </w:r>
      <w:r>
        <w:rPr>
          <w:color w:val="2F5496"/>
        </w:rPr>
        <w:t>data</w:t>
      </w:r>
      <w:r>
        <w:rPr>
          <w:color w:val="2F5496"/>
          <w:spacing w:val="-8"/>
        </w:rPr>
        <w:t xml:space="preserve"> </w:t>
      </w:r>
      <w:r>
        <w:rPr>
          <w:color w:val="2F5496"/>
        </w:rPr>
        <w:t>and</w:t>
      </w:r>
      <w:r>
        <w:rPr>
          <w:color w:val="2F5496"/>
          <w:spacing w:val="-9"/>
        </w:rPr>
        <w:t xml:space="preserve"> </w:t>
      </w:r>
      <w:r>
        <w:rPr>
          <w:color w:val="2F5496"/>
          <w:spacing w:val="-3"/>
        </w:rPr>
        <w:t>accountability</w:t>
      </w:r>
      <w:r>
        <w:rPr>
          <w:color w:val="2F5496"/>
          <w:spacing w:val="-5"/>
        </w:rPr>
        <w:t xml:space="preserve"> </w:t>
      </w:r>
      <w:r>
        <w:rPr>
          <w:color w:val="2F5496"/>
        </w:rPr>
        <w:t>reporting</w:t>
      </w:r>
      <w:r>
        <w:rPr>
          <w:color w:val="2F5496"/>
          <w:spacing w:val="-9"/>
        </w:rPr>
        <w:t xml:space="preserve"> </w:t>
      </w:r>
      <w:r>
        <w:rPr>
          <w:color w:val="2F5496"/>
        </w:rPr>
        <w:t>will</w:t>
      </w:r>
      <w:r>
        <w:rPr>
          <w:color w:val="2F5496"/>
          <w:spacing w:val="-5"/>
        </w:rPr>
        <w:t xml:space="preserve"> </w:t>
      </w:r>
      <w:r>
        <w:rPr>
          <w:color w:val="2F5496"/>
        </w:rPr>
        <w:t>districts</w:t>
      </w:r>
      <w:r>
        <w:rPr>
          <w:color w:val="2F5496"/>
          <w:spacing w:val="-6"/>
        </w:rPr>
        <w:t xml:space="preserve"> </w:t>
      </w:r>
      <w:r>
        <w:rPr>
          <w:color w:val="2F5496"/>
        </w:rPr>
        <w:t>be</w:t>
      </w:r>
      <w:r>
        <w:rPr>
          <w:color w:val="2F5496"/>
          <w:spacing w:val="-8"/>
        </w:rPr>
        <w:t xml:space="preserve"> </w:t>
      </w:r>
      <w:r>
        <w:rPr>
          <w:color w:val="2F5496"/>
        </w:rPr>
        <w:t>asked</w:t>
      </w:r>
      <w:r>
        <w:rPr>
          <w:color w:val="2F5496"/>
          <w:spacing w:val="-9"/>
        </w:rPr>
        <w:t xml:space="preserve"> </w:t>
      </w:r>
      <w:r>
        <w:rPr>
          <w:color w:val="2F5496"/>
        </w:rPr>
        <w:t>to</w:t>
      </w:r>
      <w:r>
        <w:rPr>
          <w:color w:val="2F5496"/>
          <w:spacing w:val="-5"/>
        </w:rPr>
        <w:t xml:space="preserve"> </w:t>
      </w:r>
      <w:r>
        <w:rPr>
          <w:color w:val="2F5496"/>
          <w:spacing w:val="-3"/>
        </w:rPr>
        <w:t>produce</w:t>
      </w:r>
      <w:r>
        <w:rPr>
          <w:color w:val="2F5496"/>
          <w:spacing w:val="-6"/>
        </w:rPr>
        <w:t xml:space="preserve"> </w:t>
      </w:r>
      <w:r>
        <w:rPr>
          <w:color w:val="2F5496"/>
        </w:rPr>
        <w:t>to</w:t>
      </w:r>
      <w:r>
        <w:rPr>
          <w:color w:val="2F5496"/>
          <w:spacing w:val="-5"/>
        </w:rPr>
        <w:t xml:space="preserve"> </w:t>
      </w:r>
      <w:r>
        <w:rPr>
          <w:color w:val="2F5496"/>
          <w:spacing w:val="-3"/>
        </w:rPr>
        <w:t>receive</w:t>
      </w:r>
      <w:r>
        <w:rPr>
          <w:color w:val="2F5496"/>
          <w:spacing w:val="-5"/>
        </w:rPr>
        <w:t xml:space="preserve"> </w:t>
      </w:r>
      <w:r>
        <w:rPr>
          <w:color w:val="2F5496"/>
          <w:spacing w:val="-3"/>
        </w:rPr>
        <w:t>funding</w:t>
      </w:r>
      <w:r>
        <w:rPr>
          <w:color w:val="2F5496"/>
          <w:spacing w:val="-7"/>
        </w:rPr>
        <w:t xml:space="preserve"> </w:t>
      </w:r>
      <w:r>
        <w:rPr>
          <w:color w:val="2F5496"/>
          <w:spacing w:val="-3"/>
        </w:rPr>
        <w:t>under</w:t>
      </w:r>
      <w:r>
        <w:rPr>
          <w:color w:val="2F5496"/>
          <w:spacing w:val="-6"/>
        </w:rPr>
        <w:t xml:space="preserve"> </w:t>
      </w:r>
      <w:r>
        <w:rPr>
          <w:color w:val="2F5496"/>
        </w:rPr>
        <w:t>the</w:t>
      </w:r>
      <w:r>
        <w:rPr>
          <w:color w:val="2F5496"/>
          <w:spacing w:val="-6"/>
        </w:rPr>
        <w:t xml:space="preserve"> </w:t>
      </w:r>
      <w:r>
        <w:rPr>
          <w:color w:val="2F5496"/>
        </w:rPr>
        <w:t>new funding</w:t>
      </w:r>
      <w:r>
        <w:rPr>
          <w:color w:val="2F5496"/>
          <w:spacing w:val="-5"/>
        </w:rPr>
        <w:t xml:space="preserve"> </w:t>
      </w:r>
      <w:r>
        <w:rPr>
          <w:color w:val="2F5496"/>
          <w:spacing w:val="-3"/>
        </w:rPr>
        <w:t>formula?</w:t>
      </w:r>
    </w:p>
    <w:p w14:paraId="2B62CB6B" w14:textId="77777777" w:rsidR="005C02D7" w:rsidRDefault="00932F6C">
      <w:pPr>
        <w:pStyle w:val="BodyText"/>
        <w:ind w:right="197"/>
      </w:pPr>
      <w:r>
        <w:t xml:space="preserve">The SCFF will be based on current data reported by districts and will not require districts to collect or report data on additional metrics. In addition, the SCFF was designed to be consistent with the Metrics Simplification Work Group’s recommendations. The law does specify that by January 1, 2019 districts are required to adopt goals for their district that are aligned with the </w:t>
      </w:r>
      <w:r>
        <w:rPr>
          <w:i/>
        </w:rPr>
        <w:t>Vision for Success</w:t>
      </w:r>
      <w:r>
        <w:t>, specify a timeline for achieving those goals, and submit a report to the Chancellor’s Office summarizing the districts actions to achieve these goals.</w:t>
      </w:r>
    </w:p>
    <w:p w14:paraId="2B62CB6C" w14:textId="77777777" w:rsidR="005C02D7" w:rsidRDefault="00932F6C">
      <w:pPr>
        <w:pStyle w:val="Heading3"/>
        <w:numPr>
          <w:ilvl w:val="0"/>
          <w:numId w:val="1"/>
        </w:numPr>
        <w:tabs>
          <w:tab w:val="left" w:pos="471"/>
        </w:tabs>
        <w:ind w:left="470" w:hanging="350"/>
      </w:pPr>
      <w:bookmarkStart w:id="57" w:name="25._Will_the_supplemental_and_student_su"/>
      <w:bookmarkStart w:id="58" w:name="_bookmark28"/>
      <w:bookmarkEnd w:id="57"/>
      <w:bookmarkEnd w:id="58"/>
      <w:r>
        <w:rPr>
          <w:color w:val="2F5496"/>
        </w:rPr>
        <w:t xml:space="preserve">Will the </w:t>
      </w:r>
      <w:r>
        <w:rPr>
          <w:color w:val="2F5496"/>
          <w:spacing w:val="-3"/>
        </w:rPr>
        <w:t xml:space="preserve">supplemental </w:t>
      </w:r>
      <w:r>
        <w:rPr>
          <w:color w:val="2F5496"/>
        </w:rPr>
        <w:t>and student success factors be</w:t>
      </w:r>
      <w:r>
        <w:rPr>
          <w:color w:val="2F5496"/>
          <w:spacing w:val="-34"/>
        </w:rPr>
        <w:t xml:space="preserve"> </w:t>
      </w:r>
      <w:r>
        <w:rPr>
          <w:color w:val="2F5496"/>
        </w:rPr>
        <w:t>audited?</w:t>
      </w:r>
    </w:p>
    <w:p w14:paraId="2B62CB6D" w14:textId="77777777" w:rsidR="005C02D7" w:rsidRDefault="00932F6C">
      <w:pPr>
        <w:pStyle w:val="BodyText"/>
        <w:ind w:left="120"/>
      </w:pPr>
      <w:r>
        <w:t>Yes. The SCFF will be subject to annual audit procedures.</w:t>
      </w:r>
    </w:p>
    <w:p w14:paraId="2B62CB6E" w14:textId="77777777" w:rsidR="005C02D7" w:rsidRDefault="00932F6C">
      <w:pPr>
        <w:pStyle w:val="Heading3"/>
        <w:numPr>
          <w:ilvl w:val="0"/>
          <w:numId w:val="1"/>
        </w:numPr>
        <w:tabs>
          <w:tab w:val="left" w:pos="471"/>
        </w:tabs>
        <w:spacing w:before="161"/>
        <w:ind w:left="470" w:hanging="350"/>
      </w:pPr>
      <w:bookmarkStart w:id="59" w:name="26._What_if_it_doesn’t_work?_Will_there_"/>
      <w:bookmarkStart w:id="60" w:name="_bookmark29"/>
      <w:bookmarkEnd w:id="59"/>
      <w:bookmarkEnd w:id="60"/>
      <w:r>
        <w:rPr>
          <w:color w:val="2F5496"/>
          <w:spacing w:val="-3"/>
        </w:rPr>
        <w:t xml:space="preserve">What </w:t>
      </w:r>
      <w:r>
        <w:rPr>
          <w:color w:val="2F5496"/>
        </w:rPr>
        <w:t xml:space="preserve">if it </w:t>
      </w:r>
      <w:r>
        <w:rPr>
          <w:color w:val="2F5496"/>
          <w:spacing w:val="-3"/>
        </w:rPr>
        <w:t xml:space="preserve">doesn’t work? </w:t>
      </w:r>
      <w:r>
        <w:rPr>
          <w:color w:val="2F5496"/>
        </w:rPr>
        <w:t xml:space="preserve">Will there </w:t>
      </w:r>
      <w:r>
        <w:rPr>
          <w:color w:val="2F5496"/>
          <w:spacing w:val="-3"/>
        </w:rPr>
        <w:t xml:space="preserve">be </w:t>
      </w:r>
      <w:r>
        <w:rPr>
          <w:color w:val="2F5496"/>
        </w:rPr>
        <w:t xml:space="preserve">an </w:t>
      </w:r>
      <w:r>
        <w:rPr>
          <w:color w:val="2F5496"/>
          <w:spacing w:val="-3"/>
        </w:rPr>
        <w:t xml:space="preserve">opportunity </w:t>
      </w:r>
      <w:r>
        <w:rPr>
          <w:color w:val="2F5496"/>
        </w:rPr>
        <w:t xml:space="preserve">to </w:t>
      </w:r>
      <w:r>
        <w:rPr>
          <w:color w:val="2F5496"/>
          <w:spacing w:val="-2"/>
        </w:rPr>
        <w:t xml:space="preserve">refine </w:t>
      </w:r>
      <w:r>
        <w:rPr>
          <w:color w:val="2F5496"/>
        </w:rPr>
        <w:t xml:space="preserve">the </w:t>
      </w:r>
      <w:r>
        <w:rPr>
          <w:color w:val="2F5496"/>
          <w:spacing w:val="-3"/>
        </w:rPr>
        <w:t>funding</w:t>
      </w:r>
      <w:r>
        <w:rPr>
          <w:color w:val="2F5496"/>
          <w:spacing w:val="-24"/>
        </w:rPr>
        <w:t xml:space="preserve"> </w:t>
      </w:r>
      <w:r>
        <w:rPr>
          <w:color w:val="2F5496"/>
          <w:spacing w:val="-3"/>
        </w:rPr>
        <w:t>formula?</w:t>
      </w:r>
    </w:p>
    <w:p w14:paraId="2B62CB6F" w14:textId="77777777" w:rsidR="005C02D7" w:rsidRDefault="00932F6C">
      <w:pPr>
        <w:pStyle w:val="BodyText"/>
        <w:ind w:right="164"/>
      </w:pPr>
      <w:r>
        <w:t>The Chancellor’s Office will assess and monitor the effectiveness of the new funding formula as will the newly created oversight committee (see below). While the law does not stipulate a process for how metrics could be changed, the Chancellor’s Office takes the view that the funding formula will be evaluated for effectiveness and that alterations may be needed in the future. However, we are cautious about drawing conclusions about the effectiveness of the funding formula prematurely. Research from the field supports giving funding models time before coming to conclusions about the effects. Several of the outcome components included in the funding formula, such as degree completion, will require several years of full funding formula implementation before we can ascertain their effects.</w:t>
      </w:r>
    </w:p>
    <w:p w14:paraId="2B62CB70" w14:textId="77777777" w:rsidR="005C02D7" w:rsidRDefault="00932F6C">
      <w:pPr>
        <w:pStyle w:val="Heading3"/>
        <w:numPr>
          <w:ilvl w:val="0"/>
          <w:numId w:val="1"/>
        </w:numPr>
        <w:tabs>
          <w:tab w:val="left" w:pos="471"/>
        </w:tabs>
        <w:spacing w:before="161" w:line="240" w:lineRule="auto"/>
        <w:ind w:left="120" w:right="775" w:firstLine="0"/>
      </w:pPr>
      <w:bookmarkStart w:id="61" w:name="27._How_will_the_effects_of_the_new_fund"/>
      <w:bookmarkStart w:id="62" w:name="_bookmark30"/>
      <w:bookmarkEnd w:id="61"/>
      <w:bookmarkEnd w:id="62"/>
      <w:r>
        <w:rPr>
          <w:color w:val="2F5496"/>
        </w:rPr>
        <w:t>How</w:t>
      </w:r>
      <w:r>
        <w:rPr>
          <w:color w:val="2F5496"/>
          <w:spacing w:val="-8"/>
        </w:rPr>
        <w:t xml:space="preserve"> </w:t>
      </w:r>
      <w:r>
        <w:rPr>
          <w:color w:val="2F5496"/>
        </w:rPr>
        <w:t>will</w:t>
      </w:r>
      <w:r>
        <w:rPr>
          <w:color w:val="2F5496"/>
          <w:spacing w:val="-5"/>
        </w:rPr>
        <w:t xml:space="preserve"> </w:t>
      </w:r>
      <w:r>
        <w:rPr>
          <w:color w:val="2F5496"/>
        </w:rPr>
        <w:t>the</w:t>
      </w:r>
      <w:r>
        <w:rPr>
          <w:color w:val="2F5496"/>
          <w:spacing w:val="-7"/>
        </w:rPr>
        <w:t xml:space="preserve"> </w:t>
      </w:r>
      <w:r>
        <w:rPr>
          <w:color w:val="2F5496"/>
        </w:rPr>
        <w:t>effects</w:t>
      </w:r>
      <w:r>
        <w:rPr>
          <w:color w:val="2F5496"/>
          <w:spacing w:val="-9"/>
        </w:rPr>
        <w:t xml:space="preserve"> </w:t>
      </w:r>
      <w:r>
        <w:rPr>
          <w:color w:val="2F5496"/>
        </w:rPr>
        <w:t>of</w:t>
      </w:r>
      <w:r>
        <w:rPr>
          <w:color w:val="2F5496"/>
          <w:spacing w:val="-6"/>
        </w:rPr>
        <w:t xml:space="preserve"> </w:t>
      </w:r>
      <w:r>
        <w:rPr>
          <w:color w:val="2F5496"/>
        </w:rPr>
        <w:t>the</w:t>
      </w:r>
      <w:r>
        <w:rPr>
          <w:color w:val="2F5496"/>
          <w:spacing w:val="-6"/>
        </w:rPr>
        <w:t xml:space="preserve"> </w:t>
      </w:r>
      <w:r>
        <w:rPr>
          <w:color w:val="2F5496"/>
        </w:rPr>
        <w:t>new</w:t>
      </w:r>
      <w:r>
        <w:rPr>
          <w:color w:val="2F5496"/>
          <w:spacing w:val="-9"/>
        </w:rPr>
        <w:t xml:space="preserve"> </w:t>
      </w:r>
      <w:r>
        <w:rPr>
          <w:color w:val="2F5496"/>
        </w:rPr>
        <w:t>funding</w:t>
      </w:r>
      <w:r>
        <w:rPr>
          <w:color w:val="2F5496"/>
          <w:spacing w:val="-10"/>
        </w:rPr>
        <w:t xml:space="preserve"> </w:t>
      </w:r>
      <w:r>
        <w:rPr>
          <w:color w:val="2F5496"/>
          <w:spacing w:val="-3"/>
        </w:rPr>
        <w:t>formula</w:t>
      </w:r>
      <w:r>
        <w:rPr>
          <w:color w:val="2F5496"/>
          <w:spacing w:val="-5"/>
        </w:rPr>
        <w:t xml:space="preserve"> </w:t>
      </w:r>
      <w:r>
        <w:rPr>
          <w:color w:val="2F5496"/>
        </w:rPr>
        <w:t>be</w:t>
      </w:r>
      <w:r>
        <w:rPr>
          <w:color w:val="2F5496"/>
          <w:spacing w:val="-6"/>
        </w:rPr>
        <w:t xml:space="preserve"> </w:t>
      </w:r>
      <w:r>
        <w:rPr>
          <w:color w:val="2F5496"/>
          <w:spacing w:val="-3"/>
        </w:rPr>
        <w:t>monitored?</w:t>
      </w:r>
      <w:r>
        <w:rPr>
          <w:color w:val="2F5496"/>
          <w:spacing w:val="-9"/>
        </w:rPr>
        <w:t xml:space="preserve"> </w:t>
      </w:r>
      <w:r>
        <w:rPr>
          <w:color w:val="2F5496"/>
        </w:rPr>
        <w:t>Will</w:t>
      </w:r>
      <w:r>
        <w:rPr>
          <w:color w:val="2F5496"/>
          <w:spacing w:val="-5"/>
        </w:rPr>
        <w:t xml:space="preserve"> </w:t>
      </w:r>
      <w:r>
        <w:rPr>
          <w:color w:val="2F5496"/>
        </w:rPr>
        <w:t>there</w:t>
      </w:r>
      <w:r>
        <w:rPr>
          <w:color w:val="2F5496"/>
          <w:spacing w:val="-7"/>
        </w:rPr>
        <w:t xml:space="preserve"> </w:t>
      </w:r>
      <w:r>
        <w:rPr>
          <w:color w:val="2F5496"/>
        </w:rPr>
        <w:t>be</w:t>
      </w:r>
      <w:r>
        <w:rPr>
          <w:color w:val="2F5496"/>
          <w:spacing w:val="-6"/>
        </w:rPr>
        <w:t xml:space="preserve"> </w:t>
      </w:r>
      <w:r>
        <w:rPr>
          <w:color w:val="2F5496"/>
        </w:rPr>
        <w:t>any</w:t>
      </w:r>
      <w:r>
        <w:rPr>
          <w:color w:val="2F5496"/>
          <w:spacing w:val="-9"/>
        </w:rPr>
        <w:t xml:space="preserve"> </w:t>
      </w:r>
      <w:r>
        <w:rPr>
          <w:color w:val="2F5496"/>
          <w:spacing w:val="-3"/>
        </w:rPr>
        <w:t>opportunity</w:t>
      </w:r>
      <w:r>
        <w:rPr>
          <w:color w:val="2F5496"/>
          <w:spacing w:val="-8"/>
        </w:rPr>
        <w:t xml:space="preserve"> </w:t>
      </w:r>
      <w:r>
        <w:rPr>
          <w:color w:val="2F5496"/>
        </w:rPr>
        <w:t>to</w:t>
      </w:r>
      <w:r>
        <w:rPr>
          <w:color w:val="2F5496"/>
          <w:spacing w:val="-6"/>
        </w:rPr>
        <w:t xml:space="preserve"> </w:t>
      </w:r>
      <w:r>
        <w:rPr>
          <w:color w:val="2F5496"/>
          <w:spacing w:val="-3"/>
        </w:rPr>
        <w:t xml:space="preserve">modify </w:t>
      </w:r>
      <w:r>
        <w:rPr>
          <w:color w:val="2F5496"/>
        </w:rPr>
        <w:t xml:space="preserve">metrics and their weights in the </w:t>
      </w:r>
      <w:r>
        <w:rPr>
          <w:color w:val="2F5496"/>
          <w:spacing w:val="-3"/>
        </w:rPr>
        <w:t>coming</w:t>
      </w:r>
      <w:r>
        <w:rPr>
          <w:color w:val="2F5496"/>
          <w:spacing w:val="-36"/>
        </w:rPr>
        <w:t xml:space="preserve"> </w:t>
      </w:r>
      <w:r>
        <w:rPr>
          <w:color w:val="2F5496"/>
        </w:rPr>
        <w:t>years?</w:t>
      </w:r>
    </w:p>
    <w:p w14:paraId="2B62CB71" w14:textId="77777777" w:rsidR="005C02D7" w:rsidRDefault="00932F6C">
      <w:pPr>
        <w:pStyle w:val="BodyText"/>
        <w:ind w:right="268"/>
      </w:pPr>
      <w:r>
        <w:t>The Chancellor’s Office is developing a plan to monitor the effects of the new funding formula. One of the components the Chancellor’s Office will be keeping a careful eye on is the extent to which new certificates are created by districts to improve funding through the Student Success Allocation. While the Chancellor’s Office is supportive of the creation of new certificates we want to ensure that any additional certificates have real market value for students and that students are not being encouraged to pursue shorter term certificates instead of longer term degrees.</w:t>
      </w:r>
    </w:p>
    <w:p w14:paraId="2B62CB72" w14:textId="77777777" w:rsidR="005C02D7" w:rsidRDefault="00932F6C">
      <w:pPr>
        <w:pStyle w:val="BodyText"/>
        <w:spacing w:before="96" w:line="259" w:lineRule="auto"/>
        <w:ind w:right="321"/>
      </w:pPr>
      <w:r>
        <w:t>In addition, the Legislature has established the Community College Student Success Funding Formula Oversight Committee to evaluate and review the implementation of the SCFF. While details of the Oversight Committee are yet to be determined by the Legislature, the duties will include the development of an implementation plan, including a timeline, for collecting data on the number of first-generation college students enrolled at community colleges for the purpose of including this as a metric in the funding formula in future years.</w:t>
      </w:r>
    </w:p>
    <w:sectPr w:rsidR="005C02D7">
      <w:pgSz w:w="12240" w:h="15840"/>
      <w:pgMar w:top="1140" w:right="600" w:bottom="540" w:left="600" w:header="311" w:footer="35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430AF6C" w14:textId="77777777" w:rsidR="00054E13" w:rsidRDefault="00054E13">
      <w:r>
        <w:separator/>
      </w:r>
    </w:p>
  </w:endnote>
  <w:endnote w:type="continuationSeparator" w:id="0">
    <w:p w14:paraId="1A1D3E9D" w14:textId="77777777" w:rsidR="00054E13" w:rsidRDefault="00054E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B62CB7A" w14:textId="5C0CC0A5" w:rsidR="005C02D7" w:rsidRDefault="00836D9D">
    <w:pPr>
      <w:pStyle w:val="BodyText"/>
      <w:spacing w:line="14" w:lineRule="auto"/>
      <w:ind w:left="0"/>
      <w:rPr>
        <w:sz w:val="20"/>
      </w:rPr>
    </w:pPr>
    <w:r>
      <w:rPr>
        <w:noProof/>
        <w:lang w:bidi="ar-SA"/>
      </w:rPr>
      <mc:AlternateContent>
        <mc:Choice Requires="wps">
          <w:drawing>
            <wp:anchor distT="0" distB="0" distL="114300" distR="114300" simplePos="0" relativeHeight="503307536" behindDoc="1" locked="0" layoutInCell="1" allowOverlap="1" wp14:anchorId="2B62CB7D" wp14:editId="704761DD">
              <wp:simplePos x="0" y="0"/>
              <wp:positionH relativeFrom="page">
                <wp:posOffset>444500</wp:posOffset>
              </wp:positionH>
              <wp:positionV relativeFrom="page">
                <wp:posOffset>9688830</wp:posOffset>
              </wp:positionV>
              <wp:extent cx="588010" cy="152400"/>
              <wp:effectExtent l="0" t="1905"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01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62CB81" w14:textId="5A2C3AE4" w:rsidR="005C02D7" w:rsidRDefault="00932F6C">
                          <w:pPr>
                            <w:spacing w:line="223" w:lineRule="exact"/>
                            <w:ind w:left="20"/>
                            <w:rPr>
                              <w:sz w:val="20"/>
                            </w:rPr>
                          </w:pPr>
                          <w:r>
                            <w:rPr>
                              <w:color w:val="595958"/>
                              <w:sz w:val="20"/>
                            </w:rPr>
                            <w:t xml:space="preserve">Page </w:t>
                          </w:r>
                          <w:r>
                            <w:fldChar w:fldCharType="begin"/>
                          </w:r>
                          <w:r>
                            <w:rPr>
                              <w:color w:val="595958"/>
                              <w:sz w:val="20"/>
                            </w:rPr>
                            <w:instrText xml:space="preserve"> PAGE </w:instrText>
                          </w:r>
                          <w:r>
                            <w:fldChar w:fldCharType="separate"/>
                          </w:r>
                          <w:r>
                            <w:rPr>
                              <w:noProof/>
                              <w:color w:val="595958"/>
                              <w:sz w:val="20"/>
                            </w:rPr>
                            <w:t>6</w:t>
                          </w:r>
                          <w:r>
                            <w:fldChar w:fldCharType="end"/>
                          </w:r>
                          <w:r>
                            <w:rPr>
                              <w:color w:val="595958"/>
                              <w:sz w:val="20"/>
                            </w:rPr>
                            <w:t xml:space="preserve"> of 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B62CB7D" id="_x0000_t202" coordsize="21600,21600" o:spt="202" path="m,l,21600r21600,l21600,xe">
              <v:stroke joinstyle="miter"/>
              <v:path gradientshapeok="t" o:connecttype="rect"/>
            </v:shapetype>
            <v:shape id="Text Box 1" o:spid="_x0000_s1027" type="#_x0000_t202" style="position:absolute;margin-left:35pt;margin-top:762.9pt;width:46.3pt;height:12pt;z-index:-89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" filled="f" stroked="f">
              <v:textbox inset="0,0,0,0">
                <w:txbxContent>
                  <w:p w14:paraId="2B62CB81" w14:textId="5A2C3AE4" w:rsidR="005C02D7" w:rsidRDefault="00932F6C">
                    <w:pPr>
                      <w:spacing w:line="223" w:lineRule="exact"/>
                      <w:ind w:left="20"/>
                      <w:rPr>
                        <w:sz w:val="20"/>
                      </w:rPr>
                    </w:pPr>
                    <w:r>
                      <w:rPr>
                        <w:color w:val="595958"/>
                        <w:sz w:val="20"/>
                      </w:rPr>
                      <w:t xml:space="preserve">Page </w:t>
                    </w:r>
                    <w:r>
                      <w:fldChar w:fldCharType="begin"/>
                    </w:r>
                    <w:r>
                      <w:rPr>
                        <w:color w:val="595958"/>
                        <w:sz w:val="20"/>
                      </w:rPr>
                      <w:instrText xml:space="preserve"> PAGE </w:instrText>
                    </w:r>
                    <w:r>
                      <w:fldChar w:fldCharType="separate"/>
                    </w:r>
                    <w:r>
                      <w:rPr>
                        <w:noProof/>
                        <w:color w:val="595958"/>
                        <w:sz w:val="20"/>
                      </w:rPr>
                      <w:t>6</w:t>
                    </w:r>
                    <w:r>
                      <w:fldChar w:fldCharType="end"/>
                    </w:r>
                    <w:r>
                      <w:rPr>
                        <w:color w:val="595958"/>
                        <w:sz w:val="20"/>
                      </w:rPr>
                      <w:t xml:space="preserve"> of 6</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50DB27B" w14:textId="77777777" w:rsidR="00054E13" w:rsidRDefault="00054E13">
      <w:r>
        <w:separator/>
      </w:r>
    </w:p>
  </w:footnote>
  <w:footnote w:type="continuationSeparator" w:id="0">
    <w:p w14:paraId="73494080" w14:textId="77777777" w:rsidR="00054E13" w:rsidRDefault="00054E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B62CB79" w14:textId="5EAE3051" w:rsidR="005C02D7" w:rsidRDefault="00836D9D">
    <w:pPr>
      <w:pStyle w:val="BodyText"/>
      <w:spacing w:line="14" w:lineRule="auto"/>
      <w:ind w:left="0"/>
      <w:rPr>
        <w:sz w:val="20"/>
      </w:rPr>
    </w:pPr>
    <w:r>
      <w:rPr>
        <w:noProof/>
        <w:lang w:bidi="ar-SA"/>
      </w:rPr>
      <mc:AlternateContent>
        <mc:Choice Requires="wps">
          <w:drawing>
            <wp:anchor distT="0" distB="0" distL="114300" distR="114300" simplePos="0" relativeHeight="503307488" behindDoc="1" locked="0" layoutInCell="1" allowOverlap="1" wp14:anchorId="2B62CB7B" wp14:editId="0EBF5F0D">
              <wp:simplePos x="0" y="0"/>
              <wp:positionH relativeFrom="page">
                <wp:posOffset>5671820</wp:posOffset>
              </wp:positionH>
              <wp:positionV relativeFrom="page">
                <wp:posOffset>184785</wp:posOffset>
              </wp:positionV>
              <wp:extent cx="1656715" cy="557530"/>
              <wp:effectExtent l="4445" t="3810" r="0" b="635"/>
              <wp:wrapNone/>
              <wp:docPr id="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6715" cy="557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62CB7E" w14:textId="77777777" w:rsidR="005C02D7" w:rsidRDefault="00932F6C">
                          <w:pPr>
                            <w:spacing w:line="203" w:lineRule="exact"/>
                            <w:ind w:left="348"/>
                            <w:rPr>
                              <w:rFonts w:ascii="Calibri"/>
                              <w:sz w:val="18"/>
                            </w:rPr>
                          </w:pPr>
                          <w:r>
                            <w:rPr>
                              <w:rFonts w:ascii="Calibri"/>
                              <w:color w:val="44546A"/>
                              <w:sz w:val="18"/>
                            </w:rPr>
                            <w:t>California Community</w:t>
                          </w:r>
                          <w:r>
                            <w:rPr>
                              <w:rFonts w:ascii="Calibri"/>
                              <w:color w:val="44546A"/>
                              <w:spacing w:val="-9"/>
                              <w:sz w:val="18"/>
                            </w:rPr>
                            <w:t xml:space="preserve"> </w:t>
                          </w:r>
                          <w:r>
                            <w:rPr>
                              <w:rFonts w:ascii="Calibri"/>
                              <w:color w:val="44546A"/>
                              <w:sz w:val="18"/>
                            </w:rPr>
                            <w:t>Colleges</w:t>
                          </w:r>
                        </w:p>
                        <w:p w14:paraId="2B62CB7F" w14:textId="77777777" w:rsidR="005C02D7" w:rsidRDefault="00932F6C">
                          <w:pPr>
                            <w:ind w:left="20" w:right="18" w:firstLine="1519"/>
                            <w:jc w:val="right"/>
                            <w:rPr>
                              <w:rFonts w:ascii="Calibri"/>
                              <w:sz w:val="18"/>
                            </w:rPr>
                          </w:pPr>
                          <w:r>
                            <w:rPr>
                              <w:rFonts w:ascii="Calibri"/>
                              <w:color w:val="44546A"/>
                              <w:spacing w:val="-1"/>
                              <w:sz w:val="18"/>
                            </w:rPr>
                            <w:t xml:space="preserve">Non-Technical </w:t>
                          </w:r>
                          <w:r>
                            <w:rPr>
                              <w:rFonts w:ascii="Calibri"/>
                              <w:color w:val="44546A"/>
                              <w:sz w:val="18"/>
                            </w:rPr>
                            <w:t>Student Centered Funding</w:t>
                          </w:r>
                          <w:r>
                            <w:rPr>
                              <w:rFonts w:ascii="Calibri"/>
                              <w:color w:val="44546A"/>
                              <w:spacing w:val="-13"/>
                              <w:sz w:val="18"/>
                            </w:rPr>
                            <w:t xml:space="preserve"> </w:t>
                          </w:r>
                          <w:r>
                            <w:rPr>
                              <w:rFonts w:ascii="Calibri"/>
                              <w:color w:val="44546A"/>
                              <w:sz w:val="18"/>
                            </w:rPr>
                            <w:t>Formula</w:t>
                          </w:r>
                        </w:p>
                        <w:p w14:paraId="2B62CB80" w14:textId="77777777" w:rsidR="005C02D7" w:rsidRDefault="00932F6C">
                          <w:pPr>
                            <w:spacing w:line="219" w:lineRule="exact"/>
                            <w:ind w:right="20"/>
                            <w:jc w:val="right"/>
                            <w:rPr>
                              <w:rFonts w:ascii="Calibri"/>
                              <w:sz w:val="18"/>
                            </w:rPr>
                          </w:pPr>
                          <w:r>
                            <w:rPr>
                              <w:rFonts w:ascii="Calibri"/>
                              <w:color w:val="44546A"/>
                              <w:spacing w:val="-1"/>
                              <w:sz w:val="18"/>
                            </w:rPr>
                            <w:t>FAQs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B62CB7B" id="_x0000_t202" coordsize="21600,21600" o:spt="202" path="m,l,21600r21600,l21600,xe">
              <v:stroke joinstyle="miter"/>
              <v:path gradientshapeok="t" o:connecttype="rect"/>
            </v:shapetype>
            <v:shape id="Text Box 3" o:spid="_x0000_s1026" type="#_x0000_t202" style="position:absolute;margin-left:446.6pt;margin-top:14.55pt;width:130.45pt;height:43.9pt;z-index:-89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" filled="f" stroked="f">
              <v:textbox inset="0,0,0,0">
                <w:txbxContent>
                  <w:p w14:paraId="2B62CB7E" w14:textId="77777777" w:rsidR="005C02D7" w:rsidRDefault="00932F6C">
                    <w:pPr>
                      <w:spacing w:line="203" w:lineRule="exact"/>
                      <w:ind w:left="348"/>
                      <w:rPr>
                        <w:rFonts w:ascii="Calibri"/>
                        <w:sz w:val="18"/>
                      </w:rPr>
                    </w:pPr>
                    <w:r>
                      <w:rPr>
                        <w:rFonts w:ascii="Calibri"/>
                        <w:color w:val="44546A"/>
                        <w:sz w:val="18"/>
                      </w:rPr>
                      <w:t>California Community</w:t>
                    </w:r>
                    <w:r>
                      <w:rPr>
                        <w:rFonts w:ascii="Calibri"/>
                        <w:color w:val="44546A"/>
                        <w:spacing w:val="-9"/>
                        <w:sz w:val="18"/>
                      </w:rPr>
                      <w:t xml:space="preserve"> </w:t>
                    </w:r>
                    <w:r>
                      <w:rPr>
                        <w:rFonts w:ascii="Calibri"/>
                        <w:color w:val="44546A"/>
                        <w:sz w:val="18"/>
                      </w:rPr>
                      <w:t>Colleges</w:t>
                    </w:r>
                  </w:p>
                  <w:p w14:paraId="2B62CB7F" w14:textId="77777777" w:rsidR="005C02D7" w:rsidRDefault="00932F6C">
                    <w:pPr>
                      <w:ind w:left="20" w:right="18" w:firstLine="1519"/>
                      <w:jc w:val="right"/>
                      <w:rPr>
                        <w:rFonts w:ascii="Calibri"/>
                        <w:sz w:val="18"/>
                      </w:rPr>
                    </w:pPr>
                    <w:r>
                      <w:rPr>
                        <w:rFonts w:ascii="Calibri"/>
                        <w:color w:val="44546A"/>
                        <w:spacing w:val="-1"/>
                        <w:sz w:val="18"/>
                      </w:rPr>
                      <w:t xml:space="preserve">Non-Technical </w:t>
                    </w:r>
                    <w:r>
                      <w:rPr>
                        <w:rFonts w:ascii="Calibri"/>
                        <w:color w:val="44546A"/>
                        <w:sz w:val="18"/>
                      </w:rPr>
                      <w:t>Student Centered Funding</w:t>
                    </w:r>
                    <w:r>
                      <w:rPr>
                        <w:rFonts w:ascii="Calibri"/>
                        <w:color w:val="44546A"/>
                        <w:spacing w:val="-13"/>
                        <w:sz w:val="18"/>
                      </w:rPr>
                      <w:t xml:space="preserve"> </w:t>
                    </w:r>
                    <w:r>
                      <w:rPr>
                        <w:rFonts w:ascii="Calibri"/>
                        <w:color w:val="44546A"/>
                        <w:sz w:val="18"/>
                      </w:rPr>
                      <w:t>Formula</w:t>
                    </w:r>
                  </w:p>
                  <w:p w14:paraId="2B62CB80" w14:textId="77777777" w:rsidR="005C02D7" w:rsidRDefault="00932F6C">
                    <w:pPr>
                      <w:spacing w:line="219" w:lineRule="exact"/>
                      <w:ind w:right="20"/>
                      <w:jc w:val="right"/>
                      <w:rPr>
                        <w:rFonts w:ascii="Calibri"/>
                        <w:sz w:val="18"/>
                      </w:rPr>
                    </w:pPr>
                    <w:r>
                      <w:rPr>
                        <w:rFonts w:ascii="Calibri"/>
                        <w:color w:val="44546A"/>
                        <w:spacing w:val="-1"/>
                        <w:sz w:val="18"/>
                      </w:rPr>
                      <w:t>FAQs</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C22900"/>
    <w:multiLevelType w:val="hybridMultilevel"/>
    <w:tmpl w:val="51C6A13A"/>
    <w:lvl w:ilvl="0" w:tplc="D41274B8">
      <w:start w:val="1"/>
      <w:numFmt w:val="decimal"/>
      <w:lvlText w:val="%1."/>
      <w:lvlJc w:val="left"/>
      <w:pPr>
        <w:ind w:left="563" w:hanging="224"/>
        <w:jc w:val="left"/>
      </w:pPr>
      <w:rPr>
        <w:rFonts w:ascii="Calibri" w:eastAsia="Calibri" w:hAnsi="Calibri" w:cs="Calibri" w:hint="default"/>
        <w:b/>
        <w:bCs/>
        <w:w w:val="100"/>
        <w:sz w:val="22"/>
        <w:szCs w:val="22"/>
        <w:lang w:val="en-US" w:eastAsia="en-US" w:bidi="en-US"/>
      </w:rPr>
    </w:lvl>
    <w:lvl w:ilvl="1" w:tplc="42ECD434">
      <w:numFmt w:val="bullet"/>
      <w:lvlText w:val="•"/>
      <w:lvlJc w:val="left"/>
      <w:pPr>
        <w:ind w:left="1608" w:hanging="224"/>
      </w:pPr>
      <w:rPr>
        <w:rFonts w:hint="default"/>
        <w:lang w:val="en-US" w:eastAsia="en-US" w:bidi="en-US"/>
      </w:rPr>
    </w:lvl>
    <w:lvl w:ilvl="2" w:tplc="6128B4BC">
      <w:numFmt w:val="bullet"/>
      <w:lvlText w:val="•"/>
      <w:lvlJc w:val="left"/>
      <w:pPr>
        <w:ind w:left="2656" w:hanging="224"/>
      </w:pPr>
      <w:rPr>
        <w:rFonts w:hint="default"/>
        <w:lang w:val="en-US" w:eastAsia="en-US" w:bidi="en-US"/>
      </w:rPr>
    </w:lvl>
    <w:lvl w:ilvl="3" w:tplc="15EC519C">
      <w:numFmt w:val="bullet"/>
      <w:lvlText w:val="•"/>
      <w:lvlJc w:val="left"/>
      <w:pPr>
        <w:ind w:left="3704" w:hanging="224"/>
      </w:pPr>
      <w:rPr>
        <w:rFonts w:hint="default"/>
        <w:lang w:val="en-US" w:eastAsia="en-US" w:bidi="en-US"/>
      </w:rPr>
    </w:lvl>
    <w:lvl w:ilvl="4" w:tplc="68343376">
      <w:numFmt w:val="bullet"/>
      <w:lvlText w:val="•"/>
      <w:lvlJc w:val="left"/>
      <w:pPr>
        <w:ind w:left="4752" w:hanging="224"/>
      </w:pPr>
      <w:rPr>
        <w:rFonts w:hint="default"/>
        <w:lang w:val="en-US" w:eastAsia="en-US" w:bidi="en-US"/>
      </w:rPr>
    </w:lvl>
    <w:lvl w:ilvl="5" w:tplc="960021A8">
      <w:numFmt w:val="bullet"/>
      <w:lvlText w:val="•"/>
      <w:lvlJc w:val="left"/>
      <w:pPr>
        <w:ind w:left="5800" w:hanging="224"/>
      </w:pPr>
      <w:rPr>
        <w:rFonts w:hint="default"/>
        <w:lang w:val="en-US" w:eastAsia="en-US" w:bidi="en-US"/>
      </w:rPr>
    </w:lvl>
    <w:lvl w:ilvl="6" w:tplc="B02E8216">
      <w:numFmt w:val="bullet"/>
      <w:lvlText w:val="•"/>
      <w:lvlJc w:val="left"/>
      <w:pPr>
        <w:ind w:left="6848" w:hanging="224"/>
      </w:pPr>
      <w:rPr>
        <w:rFonts w:hint="default"/>
        <w:lang w:val="en-US" w:eastAsia="en-US" w:bidi="en-US"/>
      </w:rPr>
    </w:lvl>
    <w:lvl w:ilvl="7" w:tplc="FFBA2798">
      <w:numFmt w:val="bullet"/>
      <w:lvlText w:val="•"/>
      <w:lvlJc w:val="left"/>
      <w:pPr>
        <w:ind w:left="7896" w:hanging="224"/>
      </w:pPr>
      <w:rPr>
        <w:rFonts w:hint="default"/>
        <w:lang w:val="en-US" w:eastAsia="en-US" w:bidi="en-US"/>
      </w:rPr>
    </w:lvl>
    <w:lvl w:ilvl="8" w:tplc="490259FC">
      <w:numFmt w:val="bullet"/>
      <w:lvlText w:val="•"/>
      <w:lvlJc w:val="left"/>
      <w:pPr>
        <w:ind w:left="8944" w:hanging="224"/>
      </w:pPr>
      <w:rPr>
        <w:rFonts w:hint="default"/>
        <w:lang w:val="en-US" w:eastAsia="en-US" w:bidi="en-US"/>
      </w:rPr>
    </w:lvl>
  </w:abstractNum>
  <w:abstractNum w:abstractNumId="1" w15:restartNumberingAfterBreak="0">
    <w:nsid w:val="081366C6"/>
    <w:multiLevelType w:val="hybridMultilevel"/>
    <w:tmpl w:val="19287800"/>
    <w:lvl w:ilvl="0" w:tplc="FC640E2A">
      <w:start w:val="1"/>
      <w:numFmt w:val="decimal"/>
      <w:lvlText w:val="%1."/>
      <w:lvlJc w:val="left"/>
      <w:pPr>
        <w:ind w:left="350" w:hanging="231"/>
        <w:jc w:val="left"/>
      </w:pPr>
      <w:rPr>
        <w:rFonts w:ascii="Calibri Light" w:eastAsia="Calibri Light" w:hAnsi="Calibri Light" w:cs="Calibri Light" w:hint="default"/>
        <w:color w:val="2F5496"/>
        <w:spacing w:val="-2"/>
        <w:w w:val="100"/>
        <w:sz w:val="24"/>
        <w:szCs w:val="24"/>
        <w:lang w:val="en-US" w:eastAsia="en-US" w:bidi="en-US"/>
      </w:rPr>
    </w:lvl>
    <w:lvl w:ilvl="1" w:tplc="A48C02F8">
      <w:numFmt w:val="bullet"/>
      <w:lvlText w:val="•"/>
      <w:lvlJc w:val="left"/>
      <w:pPr>
        <w:ind w:left="1428" w:hanging="231"/>
      </w:pPr>
      <w:rPr>
        <w:rFonts w:hint="default"/>
        <w:lang w:val="en-US" w:eastAsia="en-US" w:bidi="en-US"/>
      </w:rPr>
    </w:lvl>
    <w:lvl w:ilvl="2" w:tplc="2C704F60">
      <w:numFmt w:val="bullet"/>
      <w:lvlText w:val="•"/>
      <w:lvlJc w:val="left"/>
      <w:pPr>
        <w:ind w:left="2496" w:hanging="231"/>
      </w:pPr>
      <w:rPr>
        <w:rFonts w:hint="default"/>
        <w:lang w:val="en-US" w:eastAsia="en-US" w:bidi="en-US"/>
      </w:rPr>
    </w:lvl>
    <w:lvl w:ilvl="3" w:tplc="865AA368">
      <w:numFmt w:val="bullet"/>
      <w:lvlText w:val="•"/>
      <w:lvlJc w:val="left"/>
      <w:pPr>
        <w:ind w:left="3564" w:hanging="231"/>
      </w:pPr>
      <w:rPr>
        <w:rFonts w:hint="default"/>
        <w:lang w:val="en-US" w:eastAsia="en-US" w:bidi="en-US"/>
      </w:rPr>
    </w:lvl>
    <w:lvl w:ilvl="4" w:tplc="3F7AB5E2">
      <w:numFmt w:val="bullet"/>
      <w:lvlText w:val="•"/>
      <w:lvlJc w:val="left"/>
      <w:pPr>
        <w:ind w:left="4632" w:hanging="231"/>
      </w:pPr>
      <w:rPr>
        <w:rFonts w:hint="default"/>
        <w:lang w:val="en-US" w:eastAsia="en-US" w:bidi="en-US"/>
      </w:rPr>
    </w:lvl>
    <w:lvl w:ilvl="5" w:tplc="23500694">
      <w:numFmt w:val="bullet"/>
      <w:lvlText w:val="•"/>
      <w:lvlJc w:val="left"/>
      <w:pPr>
        <w:ind w:left="5700" w:hanging="231"/>
      </w:pPr>
      <w:rPr>
        <w:rFonts w:hint="default"/>
        <w:lang w:val="en-US" w:eastAsia="en-US" w:bidi="en-US"/>
      </w:rPr>
    </w:lvl>
    <w:lvl w:ilvl="6" w:tplc="AC84F25E">
      <w:numFmt w:val="bullet"/>
      <w:lvlText w:val="•"/>
      <w:lvlJc w:val="left"/>
      <w:pPr>
        <w:ind w:left="6768" w:hanging="231"/>
      </w:pPr>
      <w:rPr>
        <w:rFonts w:hint="default"/>
        <w:lang w:val="en-US" w:eastAsia="en-US" w:bidi="en-US"/>
      </w:rPr>
    </w:lvl>
    <w:lvl w:ilvl="7" w:tplc="8F566252">
      <w:numFmt w:val="bullet"/>
      <w:lvlText w:val="•"/>
      <w:lvlJc w:val="left"/>
      <w:pPr>
        <w:ind w:left="7836" w:hanging="231"/>
      </w:pPr>
      <w:rPr>
        <w:rFonts w:hint="default"/>
        <w:lang w:val="en-US" w:eastAsia="en-US" w:bidi="en-US"/>
      </w:rPr>
    </w:lvl>
    <w:lvl w:ilvl="8" w:tplc="72742BD4">
      <w:numFmt w:val="bullet"/>
      <w:lvlText w:val="•"/>
      <w:lvlJc w:val="left"/>
      <w:pPr>
        <w:ind w:left="8904" w:hanging="231"/>
      </w:pPr>
      <w:rPr>
        <w:rFonts w:hint="default"/>
        <w:lang w:val="en-US" w:eastAsia="en-US" w:bidi="en-US"/>
      </w:rPr>
    </w:lvl>
  </w:abstractNum>
  <w:abstractNum w:abstractNumId="2" w15:restartNumberingAfterBreak="0">
    <w:nsid w:val="70525A02"/>
    <w:multiLevelType w:val="hybridMultilevel"/>
    <w:tmpl w:val="722A3882"/>
    <w:lvl w:ilvl="0" w:tplc="1C92979E">
      <w:start w:val="18"/>
      <w:numFmt w:val="decimal"/>
      <w:lvlText w:val="%1."/>
      <w:lvlJc w:val="left"/>
      <w:pPr>
        <w:ind w:left="336" w:hanging="334"/>
        <w:jc w:val="left"/>
      </w:pPr>
      <w:rPr>
        <w:rFonts w:ascii="Calibri" w:eastAsia="Calibri" w:hAnsi="Calibri" w:cs="Calibri" w:hint="default"/>
        <w:b/>
        <w:bCs/>
        <w:spacing w:val="-2"/>
        <w:w w:val="100"/>
        <w:sz w:val="22"/>
        <w:szCs w:val="22"/>
        <w:lang w:val="en-US" w:eastAsia="en-US" w:bidi="en-US"/>
      </w:rPr>
    </w:lvl>
    <w:lvl w:ilvl="1" w:tplc="FEA004C2">
      <w:numFmt w:val="bullet"/>
      <w:lvlText w:val="•"/>
      <w:lvlJc w:val="left"/>
      <w:pPr>
        <w:ind w:left="1410" w:hanging="334"/>
      </w:pPr>
      <w:rPr>
        <w:rFonts w:hint="default"/>
        <w:lang w:val="en-US" w:eastAsia="en-US" w:bidi="en-US"/>
      </w:rPr>
    </w:lvl>
    <w:lvl w:ilvl="2" w:tplc="DE18E234">
      <w:numFmt w:val="bullet"/>
      <w:lvlText w:val="•"/>
      <w:lvlJc w:val="left"/>
      <w:pPr>
        <w:ind w:left="2480" w:hanging="334"/>
      </w:pPr>
      <w:rPr>
        <w:rFonts w:hint="default"/>
        <w:lang w:val="en-US" w:eastAsia="en-US" w:bidi="en-US"/>
      </w:rPr>
    </w:lvl>
    <w:lvl w:ilvl="3" w:tplc="71DA4B66">
      <w:numFmt w:val="bullet"/>
      <w:lvlText w:val="•"/>
      <w:lvlJc w:val="left"/>
      <w:pPr>
        <w:ind w:left="3550" w:hanging="334"/>
      </w:pPr>
      <w:rPr>
        <w:rFonts w:hint="default"/>
        <w:lang w:val="en-US" w:eastAsia="en-US" w:bidi="en-US"/>
      </w:rPr>
    </w:lvl>
    <w:lvl w:ilvl="4" w:tplc="F03CB474">
      <w:numFmt w:val="bullet"/>
      <w:lvlText w:val="•"/>
      <w:lvlJc w:val="left"/>
      <w:pPr>
        <w:ind w:left="4620" w:hanging="334"/>
      </w:pPr>
      <w:rPr>
        <w:rFonts w:hint="default"/>
        <w:lang w:val="en-US" w:eastAsia="en-US" w:bidi="en-US"/>
      </w:rPr>
    </w:lvl>
    <w:lvl w:ilvl="5" w:tplc="4C76D31C">
      <w:numFmt w:val="bullet"/>
      <w:lvlText w:val="•"/>
      <w:lvlJc w:val="left"/>
      <w:pPr>
        <w:ind w:left="5690" w:hanging="334"/>
      </w:pPr>
      <w:rPr>
        <w:rFonts w:hint="default"/>
        <w:lang w:val="en-US" w:eastAsia="en-US" w:bidi="en-US"/>
      </w:rPr>
    </w:lvl>
    <w:lvl w:ilvl="6" w:tplc="952637D0">
      <w:numFmt w:val="bullet"/>
      <w:lvlText w:val="•"/>
      <w:lvlJc w:val="left"/>
      <w:pPr>
        <w:ind w:left="6760" w:hanging="334"/>
      </w:pPr>
      <w:rPr>
        <w:rFonts w:hint="default"/>
        <w:lang w:val="en-US" w:eastAsia="en-US" w:bidi="en-US"/>
      </w:rPr>
    </w:lvl>
    <w:lvl w:ilvl="7" w:tplc="B50659E2">
      <w:numFmt w:val="bullet"/>
      <w:lvlText w:val="•"/>
      <w:lvlJc w:val="left"/>
      <w:pPr>
        <w:ind w:left="7830" w:hanging="334"/>
      </w:pPr>
      <w:rPr>
        <w:rFonts w:hint="default"/>
        <w:lang w:val="en-US" w:eastAsia="en-US" w:bidi="en-US"/>
      </w:rPr>
    </w:lvl>
    <w:lvl w:ilvl="8" w:tplc="A6CA129A">
      <w:numFmt w:val="bullet"/>
      <w:lvlText w:val="•"/>
      <w:lvlJc w:val="left"/>
      <w:pPr>
        <w:ind w:left="8900" w:hanging="334"/>
      </w:pPr>
      <w:rPr>
        <w:rFonts w:hint="default"/>
        <w:lang w:val="en-US" w:eastAsia="en-US" w:bidi="en-US"/>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8"/>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02D7"/>
    <w:rsid w:val="00027C23"/>
    <w:rsid w:val="00054E13"/>
    <w:rsid w:val="005C02D7"/>
    <w:rsid w:val="00836D9D"/>
    <w:rsid w:val="008D4E5D"/>
    <w:rsid w:val="00932F6C"/>
    <w:rsid w:val="00D73A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B62CB05"/>
  <w15:docId w15:val="{4AE4C30E-F0CD-4A27-BB95-CF6EEC594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iPriority w:val="1"/>
    <w:qFormat/>
    <w:rPr>
      <w:rFonts w:ascii="Calibri Light" w:eastAsia="Calibri Light" w:hAnsi="Calibri Light" w:cs="Calibri Light"/>
      <w:lang w:bidi="en-US"/>
    </w:rPr>
  </w:style>
  <w:style w:type="paragraph" w:styleId="Heading1">
    <w:name w:val="heading 1"/>
    <w:basedOn w:val="Normal"/>
    <w:uiPriority w:val="1"/>
    <w:qFormat/>
    <w:pPr>
      <w:ind w:left="5623"/>
      <w:outlineLvl w:val="0"/>
    </w:pPr>
    <w:rPr>
      <w:sz w:val="36"/>
      <w:szCs w:val="36"/>
    </w:rPr>
  </w:style>
  <w:style w:type="paragraph" w:styleId="Heading2">
    <w:name w:val="heading 2"/>
    <w:basedOn w:val="Normal"/>
    <w:uiPriority w:val="1"/>
    <w:qFormat/>
    <w:pPr>
      <w:ind w:left="120"/>
      <w:outlineLvl w:val="1"/>
    </w:pPr>
    <w:rPr>
      <w:sz w:val="32"/>
      <w:szCs w:val="32"/>
    </w:rPr>
  </w:style>
  <w:style w:type="paragraph" w:styleId="Heading3">
    <w:name w:val="heading 3"/>
    <w:basedOn w:val="Normal"/>
    <w:uiPriority w:val="1"/>
    <w:qFormat/>
    <w:pPr>
      <w:spacing w:before="159" w:line="293" w:lineRule="exact"/>
      <w:ind w:left="120"/>
      <w:outlineLvl w:val="2"/>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ind w:left="116"/>
    </w:pPr>
    <w:rPr>
      <w:rFonts w:ascii="Calibri" w:eastAsia="Calibri" w:hAnsi="Calibri" w:cs="Calibri"/>
      <w:b/>
      <w:bCs/>
    </w:rPr>
  </w:style>
  <w:style w:type="paragraph" w:styleId="TOC2">
    <w:name w:val="toc 2"/>
    <w:basedOn w:val="Normal"/>
    <w:uiPriority w:val="1"/>
    <w:qFormat/>
    <w:pPr>
      <w:spacing w:before="120"/>
      <w:ind w:left="671" w:hanging="223"/>
    </w:pPr>
    <w:rPr>
      <w:rFonts w:ascii="Calibri" w:eastAsia="Calibri" w:hAnsi="Calibri" w:cs="Calibri"/>
      <w:b/>
      <w:bCs/>
    </w:rPr>
  </w:style>
  <w:style w:type="paragraph" w:styleId="TOC3">
    <w:name w:val="toc 3"/>
    <w:basedOn w:val="Normal"/>
    <w:uiPriority w:val="1"/>
    <w:qFormat/>
    <w:pPr>
      <w:spacing w:before="120"/>
      <w:ind w:left="563" w:hanging="223"/>
    </w:pPr>
    <w:rPr>
      <w:rFonts w:ascii="Calibri" w:eastAsia="Calibri" w:hAnsi="Calibri" w:cs="Calibri"/>
      <w:b/>
      <w:bCs/>
      <w:i/>
    </w:rPr>
  </w:style>
  <w:style w:type="paragraph" w:styleId="TOC4">
    <w:name w:val="toc 4"/>
    <w:basedOn w:val="Normal"/>
    <w:uiPriority w:val="1"/>
    <w:qFormat/>
    <w:pPr>
      <w:spacing w:before="19"/>
      <w:ind w:left="390"/>
    </w:pPr>
    <w:rPr>
      <w:rFonts w:ascii="Calibri" w:eastAsia="Calibri" w:hAnsi="Calibri" w:cs="Calibri"/>
    </w:rPr>
  </w:style>
  <w:style w:type="paragraph" w:styleId="BodyText">
    <w:name w:val="Body Text"/>
    <w:basedOn w:val="Normal"/>
    <w:uiPriority w:val="1"/>
    <w:qFormat/>
    <w:pPr>
      <w:ind w:left="119"/>
    </w:pPr>
  </w:style>
  <w:style w:type="paragraph" w:styleId="ListParagraph">
    <w:name w:val="List Paragraph"/>
    <w:basedOn w:val="Normal"/>
    <w:uiPriority w:val="1"/>
    <w:qFormat/>
    <w:pPr>
      <w:spacing w:before="120"/>
      <w:ind w:left="12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932F6C"/>
    <w:pPr>
      <w:tabs>
        <w:tab w:val="center" w:pos="4680"/>
        <w:tab w:val="right" w:pos="9360"/>
      </w:tabs>
    </w:pPr>
  </w:style>
  <w:style w:type="character" w:customStyle="1" w:styleId="HeaderChar">
    <w:name w:val="Header Char"/>
    <w:basedOn w:val="DefaultParagraphFont"/>
    <w:link w:val="Header"/>
    <w:uiPriority w:val="99"/>
    <w:rsid w:val="00932F6C"/>
    <w:rPr>
      <w:rFonts w:ascii="Calibri Light" w:eastAsia="Calibri Light" w:hAnsi="Calibri Light" w:cs="Calibri Light"/>
      <w:lang w:bidi="en-US"/>
    </w:rPr>
  </w:style>
  <w:style w:type="paragraph" w:styleId="Footer">
    <w:name w:val="footer"/>
    <w:basedOn w:val="Normal"/>
    <w:link w:val="FooterChar"/>
    <w:uiPriority w:val="99"/>
    <w:unhideWhenUsed/>
    <w:rsid w:val="00932F6C"/>
    <w:pPr>
      <w:tabs>
        <w:tab w:val="center" w:pos="4680"/>
        <w:tab w:val="right" w:pos="9360"/>
      </w:tabs>
    </w:pPr>
  </w:style>
  <w:style w:type="character" w:customStyle="1" w:styleId="FooterChar">
    <w:name w:val="Footer Char"/>
    <w:basedOn w:val="DefaultParagraphFont"/>
    <w:link w:val="Footer"/>
    <w:uiPriority w:val="99"/>
    <w:rsid w:val="00932F6C"/>
    <w:rPr>
      <w:rFonts w:ascii="Calibri Light" w:eastAsia="Calibri Light" w:hAnsi="Calibri Light" w:cs="Calibri Light"/>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extranet.cccco.edu/Portals/1/CFFP/Fiscal/Budget%20News/2018-19/Chancellors-Recommendations-on-Funding-ADA.pdf"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extranet.cccco.edu/Portals/1/CFFP/Fiscal/Budget%20News/2018-19/Chancellors-Recommendations-on-Funding-ADA.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AE4BCF4D8983C40A36124FC3310ACB6" ma:contentTypeVersion="8" ma:contentTypeDescription="Create a new document." ma:contentTypeScope="" ma:versionID="df164e41a09c0cf4ac039742df5333d6">
  <xsd:schema xmlns:xsd="http://www.w3.org/2001/XMLSchema" xmlns:xs="http://www.w3.org/2001/XMLSchema" xmlns:p="http://schemas.microsoft.com/office/2006/metadata/properties" xmlns:ns3="c879b346-0b7d-453e-989e-4db3ade23c72" targetNamespace="http://schemas.microsoft.com/office/2006/metadata/properties" ma:root="true" ma:fieldsID="1f87890391141044e1d0827ecfbcebbe" ns3:_="">
    <xsd:import namespace="c879b346-0b7d-453e-989e-4db3ade23c72"/>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OCR"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879b346-0b7d-453e-989e-4db3ade23c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971F618-8F96-4F7D-AD6C-39FEFD410D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879b346-0b7d-453e-989e-4db3ade23c7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29BB748-899B-44CE-A923-F54CEA3FD31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85F7751F-DFFE-47B0-995B-C71607F10BF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3222</Words>
  <Characters>18371</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Student-Centered Funding Formula frequently asked questions</vt:lpstr>
    </vt:vector>
  </TitlesOfParts>
  <Company>CCCCO</Company>
  <LinksUpToDate>false</LinksUpToDate>
  <CharactersWithSpaces>21550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Student-Centered Funding Formula frequently asked questions</dc:title>
  <dc:creator>Darcie Harvey</dc:creator>
  <cp:lastModifiedBy>Lizette Navarette</cp:lastModifiedBy>
  <cp:revision>2</cp:revision>
  <dcterms:created xsi:type="dcterms:W3CDTF">2019-08-26T19:50:00Z</dcterms:created>
  <dcterms:modified xsi:type="dcterms:W3CDTF">2019-08-26T19:50:00Z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2018-08-29T00:00:00Z</vt:filetime>
  </property>
  <property fmtid="{D5CDD505-2E9C-101B-9397-08002B2CF9AE}" pid="3" name="Creator">
    <vt:lpwstr>Acrobat PDFMaker 18 for Word</vt:lpwstr>
  </property>
  <property fmtid="{D5CDD505-2E9C-101B-9397-08002B2CF9AE}" pid="4" name="LastSaved">
    <vt:filetime>2019-07-30T00:00:00Z</vt:filetime>
  </property>
  <property fmtid="{D5CDD505-2E9C-101B-9397-08002B2CF9AE}" pid="5" name="ContentTypeId">
    <vt:lpwstr>0x0101009AE4BCF4D8983C40A36124FC3310ACB6</vt:lpwstr>
  </property>
</Properties>
</file>