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0D1B2A"/>
          <w:spacing w:val="200"/>
          <w:sz w:val="72"/>
          <w:szCs w:val="72"/>
        </w:rPr>
        <w:t xml:space="preserve">H Y P E R I O N</w:t>
      </w:r>
    </w:p>
    <w:p>
      <w:pPr>
        <w:pBdr>
          <w:bottom w:val="single" w:color="2E75B6" w:sz="8" w:space="4"/>
        </w:pBdr>
        <w:spacing w:after="200"/>
      </w:pPr>
    </w:p>
    <w:p>
      <w:pPr>
        <w:spacing w:after="120"/>
        <w:jc w:val="center"/>
      </w:pPr>
      <w:r>
        <w:rPr>
          <w:rFonts w:ascii="Arial" w:cs="Arial" w:eastAsia="Arial" w:hAnsi="Arial"/>
          <w:color w:val="1B3A4B"/>
          <w:sz w:val="36"/>
          <w:szCs w:val="36"/>
        </w:rPr>
        <w:t xml:space="preserve">Brand Guidelines</w:t>
      </w:r>
    </w:p>
    <w:p>
      <w:pPr>
        <w:spacing w:after="80"/>
        <w:jc w:val="center"/>
      </w:pPr>
      <w:r>
        <w:rPr>
          <w:rFonts w:ascii="Arial" w:cs="Arial" w:eastAsia="Arial" w:hAnsi="Arial"/>
          <w:color w:val="4A5568"/>
          <w:sz w:val="22"/>
          <w:szCs w:val="22"/>
        </w:rPr>
        <w:t xml:space="preserve">v1.0  —  April 2026</w:t>
      </w:r>
    </w:p>
    <w:p>
      <w:pPr>
        <w:spacing w:before="2000"/>
      </w:pPr>
    </w:p>
    <w:p>
      <w:pPr>
        <w:jc w:val="center"/>
      </w:pPr>
      <w:r>
        <w:rPr>
          <w:rFonts w:ascii="Arial" w:cs="Arial" w:eastAsia="Arial" w:hAnsi="Arial"/>
          <w:i/>
          <w:iCs/>
          <w:color w:val="6DAEDB"/>
          <w:sz w:val="24"/>
          <w:szCs w:val="24"/>
        </w:rPr>
        <w:t xml:space="preserve">AI-Powered Equity Research Engine</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D1B2A"/>
          <w:sz w:val="36"/>
          <w:szCs w:val="36"/>
        </w:rPr>
        <w:t xml:space="preserve">1. Brand Overview</w:t>
      </w:r>
    </w:p>
    <w:p>
      <w:pPr>
        <w:pBdr>
          <w:bottom w:val="single" w:color="2E75B6" w:sz="8" w:space="4"/>
        </w:pBdr>
        <w:spacing w:after="200"/>
      </w:pPr>
    </w:p>
    <w:p>
      <w:pPr>
        <w:pStyle w:val="Heading2"/>
        <w:spacing w:after="150" w:before="300"/>
      </w:pPr>
      <w:r>
        <w:rPr>
          <w:rFonts w:ascii="Arial" w:cs="Arial" w:eastAsia="Arial" w:hAnsi="Arial"/>
          <w:b/>
          <w:bCs/>
          <w:color w:val="1B3A4B"/>
          <w:sz w:val="28"/>
          <w:szCs w:val="28"/>
        </w:rPr>
        <w:t xml:space="preserve">What Is Hyperion</w:t>
      </w:r>
    </w:p>
    <w:p>
      <w:pPr>
        <w:spacing w:after="160"/>
      </w:pPr>
      <w:r>
        <w:rPr>
          <w:rFonts w:ascii="Arial" w:cs="Arial" w:eastAsia="Arial" w:hAnsi="Arial"/>
          <w:b w:val="false"/>
          <w:bCs w:val="false"/>
          <w:i w:val="false"/>
          <w:iCs w:val="false"/>
          <w:color w:val="4A5568"/>
          <w:sz w:val="22"/>
          <w:szCs w:val="22"/>
        </w:rPr>
        <w:t xml:space="preserve">Hyperion is an AI-powered equity research engine that reads SEC filings, extracts structural fingerprints using Sparse Autoencoders, and finds companies that operate similarly — even across industries. It replaces gut-feel comparable company selection with a quantitative, interpretable system backed by 25 years of validated data.</w:t>
      </w:r>
    </w:p>
    <w:p>
      <w:pPr>
        <w:pStyle w:val="Heading2"/>
        <w:spacing w:after="150" w:before="300"/>
      </w:pPr>
      <w:r>
        <w:rPr>
          <w:rFonts w:ascii="Arial" w:cs="Arial" w:eastAsia="Arial" w:hAnsi="Arial"/>
          <w:b/>
          <w:bCs/>
          <w:color w:val="1B3A4B"/>
          <w:sz w:val="28"/>
          <w:szCs w:val="28"/>
        </w:rPr>
        <w:t xml:space="preserve">Brand Personality</w:t>
      </w:r>
    </w:p>
    <w:p>
      <w:pPr>
        <w:spacing w:after="160"/>
      </w:pPr>
      <w:r>
        <w:rPr>
          <w:rFonts w:ascii="Arial" w:cs="Arial" w:eastAsia="Arial" w:hAnsi="Arial"/>
          <w:b w:val="false"/>
          <w:bCs w:val="false"/>
          <w:i w:val="false"/>
          <w:iCs w:val="false"/>
          <w:color w:val="4A5568"/>
          <w:sz w:val="22"/>
          <w:szCs w:val="22"/>
        </w:rPr>
        <w:t xml:space="preserve">Hyperion’s brand sits at the intersection of scientific rigor and practical utility. We are precise without being cold, technical without being inaccessible, and confident without being arrogant. Think: a brilliant analyst who speaks in plain English.</w:t>
      </w:r>
    </w:p>
    <w:p>
      <w:pPr>
        <w:pStyle w:val="ListParagraph"/>
        <w:numPr>
          <w:ilvl w:val="0"/>
          <w:numId w:val="2"/>
        </w:numPr>
        <w:spacing w:after="80"/>
      </w:pPr>
      <w:r>
        <w:rPr>
          <w:rFonts w:ascii="Arial" w:cs="Arial" w:eastAsia="Arial" w:hAnsi="Arial"/>
          <w:b/>
          <w:bCs/>
          <w:color w:val="0D1B2A"/>
          <w:sz w:val="22"/>
          <w:szCs w:val="22"/>
        </w:rPr>
        <w:t xml:space="preserve">Rigorous</w:t>
      </w:r>
      <w:r>
        <w:rPr>
          <w:rFonts w:ascii="Arial" w:cs="Arial" w:eastAsia="Arial" w:hAnsi="Arial"/>
          <w:color w:val="4A5568"/>
          <w:sz w:val="22"/>
          <w:szCs w:val="22"/>
        </w:rPr>
        <w:t xml:space="preserve"> — Every claim is backed by validated statistics, not marketing language</w:t>
      </w:r>
    </w:p>
    <w:p>
      <w:pPr>
        <w:pStyle w:val="ListParagraph"/>
        <w:numPr>
          <w:ilvl w:val="0"/>
          <w:numId w:val="2"/>
        </w:numPr>
        <w:spacing w:after="80"/>
      </w:pPr>
      <w:r>
        <w:rPr>
          <w:rFonts w:ascii="Arial" w:cs="Arial" w:eastAsia="Arial" w:hAnsi="Arial"/>
          <w:b/>
          <w:bCs/>
          <w:color w:val="0D1B2A"/>
          <w:sz w:val="22"/>
          <w:szCs w:val="22"/>
        </w:rPr>
        <w:t xml:space="preserve">Transparent</w:t>
      </w:r>
      <w:r>
        <w:rPr>
          <w:rFonts w:ascii="Arial" w:cs="Arial" w:eastAsia="Arial" w:hAnsi="Arial"/>
          <w:color w:val="4A5568"/>
          <w:sz w:val="22"/>
          <w:szCs w:val="22"/>
        </w:rPr>
        <w:t xml:space="preserve"> — We show our work. Interpretable features, not black-box scores</w:t>
      </w:r>
    </w:p>
    <w:p>
      <w:pPr>
        <w:pStyle w:val="ListParagraph"/>
        <w:numPr>
          <w:ilvl w:val="0"/>
          <w:numId w:val="2"/>
        </w:numPr>
        <w:spacing w:after="80"/>
      </w:pPr>
      <w:r>
        <w:rPr>
          <w:rFonts w:ascii="Arial" w:cs="Arial" w:eastAsia="Arial" w:hAnsi="Arial"/>
          <w:b/>
          <w:bCs/>
          <w:color w:val="0D1B2A"/>
          <w:sz w:val="22"/>
          <w:szCs w:val="22"/>
        </w:rPr>
        <w:t xml:space="preserve">Decisive</w:t>
      </w:r>
      <w:r>
        <w:rPr>
          <w:rFonts w:ascii="Arial" w:cs="Arial" w:eastAsia="Arial" w:hAnsi="Arial"/>
          <w:color w:val="4A5568"/>
          <w:sz w:val="22"/>
          <w:szCs w:val="22"/>
        </w:rPr>
        <w:t xml:space="preserve"> — Clear answers, not hedged platitudes. When we don’t know, we say so</w:t>
      </w:r>
    </w:p>
    <w:p>
      <w:pPr>
        <w:pStyle w:val="ListParagraph"/>
        <w:numPr>
          <w:ilvl w:val="0"/>
          <w:numId w:val="2"/>
        </w:numPr>
        <w:spacing w:after="200"/>
      </w:pPr>
      <w:r>
        <w:rPr>
          <w:rFonts w:ascii="Arial" w:cs="Arial" w:eastAsia="Arial" w:hAnsi="Arial"/>
          <w:b/>
          <w:bCs/>
          <w:color w:val="0D1B2A"/>
          <w:sz w:val="22"/>
          <w:szCs w:val="22"/>
        </w:rPr>
        <w:t xml:space="preserve">Accessible</w:t>
      </w:r>
      <w:r>
        <w:rPr>
          <w:rFonts w:ascii="Arial" w:cs="Arial" w:eastAsia="Arial" w:hAnsi="Arial"/>
          <w:color w:val="4A5568"/>
          <w:sz w:val="22"/>
          <w:szCs w:val="22"/>
        </w:rPr>
        <w:t xml:space="preserve"> — Built for working analysts, not for academic papers</w:t>
      </w:r>
    </w:p>
    <w:p>
      <w:pPr>
        <w:pStyle w:val="Heading2"/>
        <w:spacing w:after="150" w:before="300"/>
      </w:pPr>
      <w:r>
        <w:rPr>
          <w:rFonts w:ascii="Arial" w:cs="Arial" w:eastAsia="Arial" w:hAnsi="Arial"/>
          <w:b/>
          <w:bCs/>
          <w:color w:val="1B3A4B"/>
          <w:sz w:val="28"/>
          <w:szCs w:val="28"/>
        </w:rPr>
        <w:t xml:space="preserve">Tagline</w:t>
      </w:r>
    </w:p>
    <w:p>
      <w:pPr>
        <w:spacing w:after="80"/>
        <w:jc w:val="center"/>
      </w:pPr>
      <w:r>
        <w:rPr>
          <w:rFonts w:ascii="Arial" w:cs="Arial" w:eastAsia="Arial" w:hAnsi="Arial"/>
          <w:i/>
          <w:iCs/>
          <w:color w:val="2E75B6"/>
          <w:sz w:val="28"/>
          <w:szCs w:val="28"/>
        </w:rPr>
        <w:t xml:space="preserve">“Structural similarity. Quantified.”</w:t>
      </w:r>
    </w:p>
    <w:p>
      <w:pPr>
        <w:spacing w:after="160"/>
      </w:pPr>
      <w:r>
        <w:rPr>
          <w:rFonts w:ascii="Arial" w:cs="Arial" w:eastAsia="Arial" w:hAnsi="Arial"/>
          <w:b w:val="false"/>
          <w:bCs w:val="false"/>
          <w:i w:val="false"/>
          <w:iCs w:val="false"/>
          <w:color w:val="4A5568"/>
          <w:sz w:val="22"/>
          <w:szCs w:val="22"/>
        </w:rPr>
        <w:t xml:space="preserve">Use this as the primary tagline on the website hero, presentations, and marketing collateral. For shorter contexts (favicon tooltip, social bio), use:</w:t>
      </w:r>
    </w:p>
    <w:p>
      <w:pPr>
        <w:spacing w:after="200"/>
        <w:jc w:val="center"/>
      </w:pPr>
      <w:r>
        <w:rPr>
          <w:rFonts w:ascii="Arial" w:cs="Arial" w:eastAsia="Arial" w:hAnsi="Arial"/>
          <w:i/>
          <w:iCs/>
          <w:color w:val="1B3A4B"/>
          <w:sz w:val="24"/>
          <w:szCs w:val="24"/>
        </w:rPr>
        <w:t xml:space="preserve">“Find companies that actually match.”</w:t>
      </w:r>
    </w:p>
    <w:p>
      <w:pPr>
        <w:pStyle w:val="Heading2"/>
        <w:spacing w:after="150" w:before="300"/>
      </w:pPr>
      <w:r>
        <w:rPr>
          <w:rFonts w:ascii="Arial" w:cs="Arial" w:eastAsia="Arial" w:hAnsi="Arial"/>
          <w:b/>
          <w:bCs/>
          <w:color w:val="1B3A4B"/>
          <w:sz w:val="28"/>
          <w:szCs w:val="28"/>
        </w:rPr>
        <w:t xml:space="preserve">Elevator Pitch (30 seconds)</w:t>
      </w:r>
    </w:p>
    <w:p>
      <w:pPr>
        <w:spacing w:after="160"/>
      </w:pPr>
      <w:r>
        <w:rPr>
          <w:rFonts w:ascii="Arial" w:cs="Arial" w:eastAsia="Arial" w:hAnsi="Arial"/>
          <w:b w:val="false"/>
          <w:bCs w:val="false"/>
          <w:i/>
          <w:iCs/>
          <w:color w:val="4A5568"/>
          <w:sz w:val="22"/>
          <w:szCs w:val="22"/>
        </w:rPr>
        <w:t xml:space="preserve">“Hyperion reads every SEC filing through a neural network and extracts 131,000 interpretable features that describe how a company operates. When you search for analogs, it doesn’t give you everyone in the same SIC code — it finds companies that activate the same structural features, like recurring subscription revenue or government contract concentration. Validated across 25 years and 14.9 million pairs, with a t-statistic of 5.57.”</w:t>
      </w:r>
    </w:p>
    <w:p>
      <w:r>
        <w:br w:type="page"/>
      </w:r>
    </w:p>
    <w:p>
      <w:pPr>
        <w:pStyle w:val="Heading1"/>
        <w:spacing w:after="200" w:before="400"/>
      </w:pPr>
      <w:r>
        <w:rPr>
          <w:rFonts w:ascii="Arial" w:cs="Arial" w:eastAsia="Arial" w:hAnsi="Arial"/>
          <w:b/>
          <w:bCs/>
          <w:color w:val="0D1B2A"/>
          <w:sz w:val="36"/>
          <w:szCs w:val="36"/>
        </w:rPr>
        <w:t xml:space="preserve">2. Logo</w:t>
      </w:r>
    </w:p>
    <w:p>
      <w:pPr>
        <w:pBdr>
          <w:bottom w:val="single" w:color="2E75B6" w:sz="8" w:space="4"/>
        </w:pBdr>
        <w:spacing w:after="200"/>
      </w:pPr>
    </w:p>
    <w:p>
      <w:pPr>
        <w:pStyle w:val="Heading2"/>
        <w:spacing w:after="150" w:before="300"/>
      </w:pPr>
      <w:r>
        <w:rPr>
          <w:rFonts w:ascii="Arial" w:cs="Arial" w:eastAsia="Arial" w:hAnsi="Arial"/>
          <w:b/>
          <w:bCs/>
          <w:color w:val="1B3A4B"/>
          <w:sz w:val="28"/>
          <w:szCs w:val="28"/>
        </w:rPr>
        <w:t xml:space="preserve">Primary Wordmark</w:t>
      </w:r>
    </w:p>
    <w:p>
      <w:pPr>
        <w:spacing w:after="160"/>
      </w:pPr>
      <w:r>
        <w:rPr>
          <w:rFonts w:ascii="Arial" w:cs="Arial" w:eastAsia="Arial" w:hAnsi="Arial"/>
          <w:b w:val="false"/>
          <w:bCs w:val="false"/>
          <w:i w:val="false"/>
          <w:iCs w:val="false"/>
          <w:color w:val="4A5568"/>
          <w:sz w:val="22"/>
          <w:szCs w:val="22"/>
        </w:rPr>
        <w:t xml:space="preserve">The Hyperion logo is a wordmark set in Arial Bold (or Inter Bold for web) with extended letter-spacing. No logomark/icon exists yet — the wordmark is the logo.</w:t>
      </w:r>
    </w:p>
    <w:p>
      <w:pPr>
        <w:shd w:fill="F7FAFC" w:val="clear"/>
        <w:spacing w:after="100" w:before="300"/>
        <w:jc w:val="center"/>
      </w:pPr>
      <w:r>
        <w:rPr>
          <w:rFonts w:ascii="Arial" w:cs="Arial" w:eastAsia="Arial" w:hAnsi="Arial"/>
          <w:b/>
          <w:bCs/>
          <w:color w:val="0D1B2A"/>
          <w:spacing w:val="180"/>
          <w:sz w:val="56"/>
          <w:szCs w:val="56"/>
        </w:rPr>
        <w:t xml:space="preserve">H Y P E R I O N</w:t>
      </w:r>
    </w:p>
    <w:p>
      <w:pPr>
        <w:spacing w:after="300"/>
        <w:jc w:val="center"/>
      </w:pPr>
      <w:r>
        <w:rPr>
          <w:rFonts w:ascii="Arial" w:cs="Arial" w:eastAsia="Arial" w:hAnsi="Arial"/>
          <w:i/>
          <w:iCs/>
          <w:color w:val="4A5568"/>
          <w:sz w:val="18"/>
          <w:szCs w:val="18"/>
        </w:rPr>
        <w:t xml:space="preserve">Primary — Midnight on light backgrounds</w:t>
      </w:r>
    </w:p>
    <w:p>
      <w:pPr>
        <w:shd w:fill="0D1B2A" w:val="clear"/>
        <w:spacing w:after="100" w:before="200"/>
        <w:jc w:val="center"/>
      </w:pPr>
      <w:r>
        <w:rPr>
          <w:rFonts w:ascii="Arial" w:cs="Arial" w:eastAsia="Arial" w:hAnsi="Arial"/>
          <w:b/>
          <w:bCs/>
          <w:color w:val="FFFFFF"/>
          <w:spacing w:val="180"/>
          <w:sz w:val="56"/>
          <w:szCs w:val="56"/>
        </w:rPr>
        <w:t xml:space="preserve">H Y P E R I O N</w:t>
      </w:r>
    </w:p>
    <w:p>
      <w:pPr>
        <w:spacing w:after="300"/>
        <w:jc w:val="center"/>
      </w:pPr>
      <w:r>
        <w:rPr>
          <w:rFonts w:ascii="Arial" w:cs="Arial" w:eastAsia="Arial" w:hAnsi="Arial"/>
          <w:i/>
          <w:iCs/>
          <w:color w:val="4A5568"/>
          <w:sz w:val="18"/>
          <w:szCs w:val="18"/>
        </w:rPr>
        <w:t xml:space="preserve">Reversed — White on dark backgrounds</w:t>
      </w:r>
    </w:p>
    <w:p>
      <w:pPr>
        <w:pStyle w:val="Heading2"/>
        <w:spacing w:after="150" w:before="300"/>
      </w:pPr>
      <w:r>
        <w:rPr>
          <w:rFonts w:ascii="Arial" w:cs="Arial" w:eastAsia="Arial" w:hAnsi="Arial"/>
          <w:b/>
          <w:bCs/>
          <w:color w:val="1B3A4B"/>
          <w:sz w:val="28"/>
          <w:szCs w:val="28"/>
        </w:rPr>
        <w:t xml:space="preserve">Clear Space</w:t>
      </w:r>
    </w:p>
    <w:p>
      <w:pPr>
        <w:spacing w:after="160"/>
      </w:pPr>
      <w:r>
        <w:rPr>
          <w:rFonts w:ascii="Arial" w:cs="Arial" w:eastAsia="Arial" w:hAnsi="Arial"/>
          <w:b w:val="false"/>
          <w:bCs w:val="false"/>
          <w:i w:val="false"/>
          <w:iCs w:val="false"/>
          <w:color w:val="4A5568"/>
          <w:sz w:val="22"/>
          <w:szCs w:val="22"/>
        </w:rPr>
        <w:t xml:space="preserve">Maintain a minimum clear space equal to the height of the capital “H” on all sides of the wordmark. No other text, graphics, or UI elements should enter this zone.</w:t>
      </w:r>
    </w:p>
    <w:p>
      <w:pPr>
        <w:pStyle w:val="Heading2"/>
        <w:spacing w:after="150" w:before="300"/>
      </w:pPr>
      <w:r>
        <w:rPr>
          <w:rFonts w:ascii="Arial" w:cs="Arial" w:eastAsia="Arial" w:hAnsi="Arial"/>
          <w:b/>
          <w:bCs/>
          <w:color w:val="1B3A4B"/>
          <w:sz w:val="28"/>
          <w:szCs w:val="28"/>
        </w:rPr>
        <w:t xml:space="preserve">Logo Don’ts</w:t>
      </w:r>
    </w:p>
    <w:p>
      <w:pPr>
        <w:pStyle w:val="ListParagraph"/>
        <w:numPr>
          <w:ilvl w:val="0"/>
          <w:numId w:val="3"/>
        </w:numPr>
        <w:spacing w:after="80"/>
      </w:pPr>
      <w:r>
        <w:rPr>
          <w:rFonts w:ascii="Arial" w:cs="Arial" w:eastAsia="Arial" w:hAnsi="Arial"/>
          <w:color w:val="4A5568"/>
          <w:sz w:val="22"/>
          <w:szCs w:val="22"/>
        </w:rPr>
        <w:t xml:space="preserve">Don’t alter the letter-spacing or font weight</w:t>
      </w:r>
    </w:p>
    <w:p>
      <w:pPr>
        <w:pStyle w:val="ListParagraph"/>
        <w:numPr>
          <w:ilvl w:val="0"/>
          <w:numId w:val="3"/>
        </w:numPr>
        <w:spacing w:after="80"/>
      </w:pPr>
      <w:r>
        <w:rPr>
          <w:rFonts w:ascii="Arial" w:cs="Arial" w:eastAsia="Arial" w:hAnsi="Arial"/>
          <w:color w:val="4A5568"/>
          <w:sz w:val="22"/>
          <w:szCs w:val="22"/>
        </w:rPr>
        <w:t xml:space="preserve">Don’t rotate, stretch, or add effects (drop shadow, glow, bevel)</w:t>
      </w:r>
    </w:p>
    <w:p>
      <w:pPr>
        <w:pStyle w:val="ListParagraph"/>
        <w:numPr>
          <w:ilvl w:val="0"/>
          <w:numId w:val="3"/>
        </w:numPr>
        <w:spacing w:after="80"/>
      </w:pPr>
      <w:r>
        <w:rPr>
          <w:rFonts w:ascii="Arial" w:cs="Arial" w:eastAsia="Arial" w:hAnsi="Arial"/>
          <w:color w:val="4A5568"/>
          <w:sz w:val="22"/>
          <w:szCs w:val="22"/>
        </w:rPr>
        <w:t xml:space="preserve">Don’t place on busy backgrounds without a container/card</w:t>
      </w:r>
    </w:p>
    <w:p>
      <w:pPr>
        <w:pStyle w:val="ListParagraph"/>
        <w:numPr>
          <w:ilvl w:val="0"/>
          <w:numId w:val="3"/>
        </w:numPr>
        <w:spacing w:after="200"/>
      </w:pPr>
      <w:r>
        <w:rPr>
          <w:rFonts w:ascii="Arial" w:cs="Arial" w:eastAsia="Arial" w:hAnsi="Arial"/>
          <w:color w:val="4A5568"/>
          <w:sz w:val="22"/>
          <w:szCs w:val="22"/>
        </w:rPr>
        <w:t xml:space="preserve">Don’t use colors outside the approved palette</w:t>
      </w:r>
    </w:p>
    <w:p>
      <w:r>
        <w:br w:type="page"/>
      </w:r>
    </w:p>
    <w:p>
      <w:pPr>
        <w:pStyle w:val="Heading1"/>
        <w:spacing w:after="200" w:before="400"/>
      </w:pPr>
      <w:r>
        <w:rPr>
          <w:rFonts w:ascii="Arial" w:cs="Arial" w:eastAsia="Arial" w:hAnsi="Arial"/>
          <w:b/>
          <w:bCs/>
          <w:color w:val="0D1B2A"/>
          <w:sz w:val="36"/>
          <w:szCs w:val="36"/>
        </w:rPr>
        <w:t xml:space="preserve">3. Color Palette</w:t>
      </w:r>
    </w:p>
    <w:p>
      <w:pPr>
        <w:pBdr>
          <w:bottom w:val="single" w:color="2E75B6" w:sz="8" w:space="4"/>
        </w:pBdr>
        <w:spacing w:after="200"/>
      </w:pPr>
    </w:p>
    <w:p>
      <w:pPr>
        <w:spacing w:after="160"/>
      </w:pPr>
      <w:r>
        <w:rPr>
          <w:rFonts w:ascii="Arial" w:cs="Arial" w:eastAsia="Arial" w:hAnsi="Arial"/>
          <w:b w:val="false"/>
          <w:bCs w:val="false"/>
          <w:i w:val="false"/>
          <w:iCs w:val="false"/>
          <w:color w:val="4A5568"/>
          <w:sz w:val="22"/>
          <w:szCs w:val="22"/>
        </w:rPr>
        <w:t xml:space="preserve">The Hyperion palette balances authority (dark navy tones) with analytical clarity (blue accents). Use Midnight and Steel for primary surfaces. Azure and Ice for interactive elements and data visualization. Ember and Gold sparingly for alerts and premium highlights.</w:t>
      </w:r>
    </w:p>
    <w:p>
      <w:pPr>
        <w:spacing w:before="100"/>
      </w:pPr>
    </w:p>
    <w:p>
      <w:pPr>
        <w:pStyle w:val="Heading2"/>
        <w:spacing w:after="150" w:before="300"/>
      </w:pPr>
      <w:r>
        <w:rPr>
          <w:rFonts w:ascii="Arial" w:cs="Arial" w:eastAsia="Arial" w:hAnsi="Arial"/>
          <w:b/>
          <w:bCs/>
          <w:color w:val="1B3A4B"/>
          <w:sz w:val="28"/>
          <w:szCs w:val="28"/>
        </w:rPr>
        <w:t xml:space="preserve">Core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color w:val="0D1B2A"/>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Midnight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#0D1B2A</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Backgrounds, headers, primary text on light surfaces</w:t>
            </w:r>
          </w:p>
        </w:tc>
      </w:tr>
      <w:tr>
        <w:tc>
          <w:tcPr>
            <w:tcW w:type="dxa" w:w="1200"/>
            <w:tcBorders>
              <w:top w:val="single" w:color="E2E8F0" w:sz="1"/>
              <w:left w:val="single" w:color="E2E8F0" w:sz="1"/>
              <w:bottom w:val="single" w:color="E2E8F0" w:sz="1"/>
              <w:right w:val="single" w:color="E2E8F0" w:sz="1"/>
            </w:tcBorders>
            <w:shd w:fill="1B3A4B" w:val="clear"/>
            <w:tcMar>
              <w:top w:type="dxa" w:w="80"/>
              <w:left w:type="dxa" w:w="120"/>
              <w:bottom w:type="dxa" w:w="80"/>
              <w:right w:type="dxa" w:w="120"/>
            </w:tcMar>
          </w:tcPr>
          <w:p>
            <w:r>
              <w:rPr>
                <w:color w:val="1B3A4B"/>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Steel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#1B3A4B</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Subheadings, secondary surfaces, sidebar backgrounds</w:t>
            </w:r>
          </w:p>
        </w:tc>
      </w:tr>
      <w:tr>
        <w:tc>
          <w:tcPr>
            <w:tcW w:type="dxa" w:w="1200"/>
            <w:tcBorders>
              <w:top w:val="single" w:color="E2E8F0" w:sz="1"/>
              <w:left w:val="single" w:color="E2E8F0" w:sz="1"/>
              <w:bottom w:val="single" w:color="E2E8F0" w:sz="1"/>
              <w:right w:val="single" w:color="E2E8F0" w:sz="1"/>
            </w:tcBorders>
            <w:shd w:fill="2E75B6" w:val="clear"/>
            <w:tcMar>
              <w:top w:type="dxa" w:w="80"/>
              <w:left w:type="dxa" w:w="120"/>
              <w:bottom w:type="dxa" w:w="80"/>
              <w:right w:type="dxa" w:w="120"/>
            </w:tcMar>
          </w:tcPr>
          <w:p>
            <w:r>
              <w:rPr>
                <w:color w:val="2E75B6"/>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Azure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#2E75B6</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Links, buttons, active states, chart primary</w:t>
            </w:r>
          </w:p>
        </w:tc>
      </w:tr>
      <w:tr>
        <w:tc>
          <w:tcPr>
            <w:tcW w:type="dxa" w:w="1200"/>
            <w:tcBorders>
              <w:top w:val="single" w:color="E2E8F0" w:sz="1"/>
              <w:left w:val="single" w:color="E2E8F0" w:sz="1"/>
              <w:bottom w:val="single" w:color="E2E8F0" w:sz="1"/>
              <w:right w:val="single" w:color="E2E8F0" w:sz="1"/>
            </w:tcBorders>
            <w:shd w:fill="6DAEDB" w:val="clear"/>
            <w:tcMar>
              <w:top w:type="dxa" w:w="80"/>
              <w:left w:type="dxa" w:w="120"/>
              <w:bottom w:type="dxa" w:w="80"/>
              <w:right w:type="dxa" w:w="120"/>
            </w:tcMar>
          </w:tcPr>
          <w:p>
            <w:r>
              <w:rPr>
                <w:color w:val="6DAEDB"/>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Ice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#6DAEDB</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Secondary charts, data highlights, hover states</w:t>
            </w:r>
          </w:p>
        </w:tc>
      </w:tr>
    </w:tbl>
    <w:p>
      <w:pPr>
        <w:spacing w:before="200"/>
      </w:pPr>
    </w:p>
    <w:p>
      <w:pPr>
        <w:pStyle w:val="Heading2"/>
        <w:spacing w:after="150" w:before="300"/>
      </w:pPr>
      <w:r>
        <w:rPr>
          <w:rFonts w:ascii="Arial" w:cs="Arial" w:eastAsia="Arial" w:hAnsi="Arial"/>
          <w:b/>
          <w:bCs/>
          <w:color w:val="1B3A4B"/>
          <w:sz w:val="28"/>
          <w:szCs w:val="28"/>
        </w:rPr>
        <w:t xml:space="preserve">Neutral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E2E8F0" w:sz="1"/>
              <w:left w:val="single" w:color="E2E8F0" w:sz="1"/>
              <w:bottom w:val="single" w:color="E2E8F0" w:sz="1"/>
              <w:right w:val="single" w:color="E2E8F0" w:sz="1"/>
            </w:tcBorders>
            <w:shd w:fill="4A5568" w:val="clear"/>
            <w:tcMar>
              <w:top w:type="dxa" w:w="80"/>
              <w:left w:type="dxa" w:w="120"/>
              <w:bottom w:type="dxa" w:w="80"/>
              <w:right w:type="dxa" w:w="120"/>
            </w:tcMar>
          </w:tcPr>
          <w:p>
            <w:r>
              <w:rPr>
                <w:color w:val="4A5568"/>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Smoke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#4A5568</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Body text, secondary labels</w:t>
            </w:r>
          </w:p>
        </w:tc>
      </w:tr>
      <w:tr>
        <w:tc>
          <w:tcPr>
            <w:tcW w:type="dxa" w:w="1200"/>
            <w:tcBorders>
              <w:top w:val="single" w:color="E2E8F0" w:sz="1"/>
              <w:left w:val="single" w:color="E2E8F0" w:sz="1"/>
              <w:bottom w:val="single" w:color="E2E8F0" w:sz="1"/>
              <w:right w:val="single" w:color="E2E8F0" w:sz="1"/>
            </w:tcBorders>
            <w:shd w:fill="E2E8F0" w:val="clear"/>
            <w:tcMar>
              <w:top w:type="dxa" w:w="80"/>
              <w:left w:type="dxa" w:w="120"/>
              <w:bottom w:type="dxa" w:w="80"/>
              <w:right w:type="dxa" w:w="120"/>
            </w:tcMar>
          </w:tcPr>
          <w:p>
            <w:r>
              <w:rPr>
                <w:color w:val="E2E8F0"/>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Silver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#E2E8F0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Borders, dividers, table rules</w:t>
            </w:r>
          </w:p>
        </w:tc>
      </w:tr>
      <w:tr>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color w:val="F7FAFC"/>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Ghost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#F7FAFC</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Page backgrounds, alternating table rows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color w:val="FFFFFF"/>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White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#FFFFFF</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Cards, content areas, inputs</w:t>
            </w:r>
          </w:p>
        </w:tc>
      </w:tr>
    </w:tbl>
    <w:p>
      <w:pPr>
        <w:spacing w:before="200"/>
      </w:pPr>
    </w:p>
    <w:p>
      <w:pPr>
        <w:pStyle w:val="Heading2"/>
        <w:spacing w:after="150" w:before="300"/>
      </w:pPr>
      <w:r>
        <w:rPr>
          <w:rFonts w:ascii="Arial" w:cs="Arial" w:eastAsia="Arial" w:hAnsi="Arial"/>
          <w:b/>
          <w:bCs/>
          <w:color w:val="1B3A4B"/>
          <w:sz w:val="28"/>
          <w:szCs w:val="28"/>
        </w:rPr>
        <w:t xml:space="preserve">Accent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E2E8F0" w:sz="1"/>
              <w:left w:val="single" w:color="E2E8F0" w:sz="1"/>
              <w:bottom w:val="single" w:color="E2E8F0" w:sz="1"/>
              <w:right w:val="single" w:color="E2E8F0" w:sz="1"/>
            </w:tcBorders>
            <w:shd w:fill="E85D3A" w:val="clear"/>
            <w:tcMar>
              <w:top w:type="dxa" w:w="80"/>
              <w:left w:type="dxa" w:w="120"/>
              <w:bottom w:type="dxa" w:w="80"/>
              <w:right w:type="dxa" w:w="120"/>
            </w:tcMar>
          </w:tcPr>
          <w:p>
            <w:r>
              <w:rPr>
                <w:color w:val="E85D3A"/>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Ember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#E85D3A</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Errors, destructive actions, critical alerts</w:t>
            </w:r>
          </w:p>
        </w:tc>
      </w:tr>
      <w:tr>
        <w:tc>
          <w:tcPr>
            <w:tcW w:type="dxa" w:w="1200"/>
            <w:tcBorders>
              <w:top w:val="single" w:color="E2E8F0" w:sz="1"/>
              <w:left w:val="single" w:color="E2E8F0" w:sz="1"/>
              <w:bottom w:val="single" w:color="E2E8F0" w:sz="1"/>
              <w:right w:val="single" w:color="E2E8F0" w:sz="1"/>
            </w:tcBorders>
            <w:shd w:fill="D4A843" w:val="clear"/>
            <w:tcMar>
              <w:top w:type="dxa" w:w="80"/>
              <w:left w:type="dxa" w:w="120"/>
              <w:bottom w:type="dxa" w:w="80"/>
              <w:right w:type="dxa" w:w="120"/>
            </w:tcMar>
          </w:tcPr>
          <w:p>
            <w:r>
              <w:rPr>
                <w:color w:val="D4A843"/>
              </w:rPr>
              <w:t xml:space="preserve"> </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0D1B2A"/>
                <w:sz w:val="20"/>
                <w:szCs w:val="20"/>
              </w:rPr>
              <w:t xml:space="preserve">Gold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urier New" w:cs="Courier New" w:eastAsia="Courier New" w:hAnsi="Courier New"/>
                <w:color w:val="4A5568"/>
                <w:sz w:val="20"/>
                <w:szCs w:val="20"/>
              </w:rPr>
              <w:t xml:space="preserve">#D4A843</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4A5568"/>
                <w:sz w:val="20"/>
                <w:szCs w:val="20"/>
              </w:rPr>
              <w:t xml:space="preserve">Premium features, statistical highlights, badges</w:t>
            </w:r>
          </w:p>
        </w:tc>
      </w:tr>
    </w:tbl>
    <w:p>
      <w:pPr>
        <w:spacing w:before="200"/>
      </w:pPr>
    </w:p>
    <w:p>
      <w:pPr>
        <w:pStyle w:val="Heading2"/>
        <w:spacing w:after="150" w:before="300"/>
      </w:pPr>
      <w:r>
        <w:rPr>
          <w:rFonts w:ascii="Arial" w:cs="Arial" w:eastAsia="Arial" w:hAnsi="Arial"/>
          <w:b/>
          <w:bCs/>
          <w:color w:val="1B3A4B"/>
          <w:sz w:val="28"/>
          <w:szCs w:val="28"/>
        </w:rPr>
        <w:t xml:space="preserve">Accessibility</w:t>
      </w:r>
    </w:p>
    <w:p>
      <w:pPr>
        <w:spacing w:after="160"/>
      </w:pPr>
      <w:r>
        <w:rPr>
          <w:rFonts w:ascii="Arial" w:cs="Arial" w:eastAsia="Arial" w:hAnsi="Arial"/>
          <w:b w:val="false"/>
          <w:bCs w:val="false"/>
          <w:i w:val="false"/>
          <w:iCs w:val="false"/>
          <w:color w:val="4A5568"/>
          <w:sz w:val="22"/>
          <w:szCs w:val="22"/>
        </w:rPr>
        <w:t xml:space="preserve">All text color combinations must meet WCAG 2.1 AA contrast ratios (4.5:1 for body text, 3:1 for large text). Midnight on White = 16.3:1. Smoke on White = 7.2:1. Azure on White = 4.6:1. Ice on White = 2.8:1 — use Ice only for decorative/non-text elements or on Midnight backgrounds.</w:t>
      </w:r>
    </w:p>
    <w:p>
      <w:r>
        <w:br w:type="page"/>
      </w:r>
    </w:p>
    <w:p>
      <w:pPr>
        <w:pStyle w:val="Heading1"/>
        <w:spacing w:after="200" w:before="400"/>
      </w:pPr>
      <w:r>
        <w:rPr>
          <w:rFonts w:ascii="Arial" w:cs="Arial" w:eastAsia="Arial" w:hAnsi="Arial"/>
          <w:b/>
          <w:bCs/>
          <w:color w:val="0D1B2A"/>
          <w:sz w:val="36"/>
          <w:szCs w:val="36"/>
        </w:rPr>
        <w:t xml:space="preserve">4. Typography</w:t>
      </w:r>
    </w:p>
    <w:p>
      <w:pPr>
        <w:pBdr>
          <w:bottom w:val="single" w:color="2E75B6" w:sz="8" w:space="4"/>
        </w:pBdr>
        <w:spacing w:after="200"/>
      </w:pPr>
    </w:p>
    <w:p>
      <w:pPr>
        <w:pStyle w:val="Heading2"/>
        <w:spacing w:after="150" w:before="300"/>
      </w:pPr>
      <w:r>
        <w:rPr>
          <w:rFonts w:ascii="Arial" w:cs="Arial" w:eastAsia="Arial" w:hAnsi="Arial"/>
          <w:b/>
          <w:bCs/>
          <w:color w:val="1B3A4B"/>
          <w:sz w:val="28"/>
          <w:szCs w:val="28"/>
        </w:rPr>
        <w:t xml:space="preserve">Type Scale</w:t>
      </w:r>
    </w:p>
    <w:p>
      <w:pPr>
        <w:spacing w:after="160"/>
      </w:pPr>
      <w:r>
        <w:rPr>
          <w:rFonts w:ascii="Arial" w:cs="Arial" w:eastAsia="Arial" w:hAnsi="Arial"/>
          <w:b w:val="false"/>
          <w:bCs w:val="false"/>
          <w:i w:val="false"/>
          <w:iCs w:val="false"/>
          <w:color w:val="4A5568"/>
          <w:sz w:val="22"/>
          <w:szCs w:val="22"/>
        </w:rPr>
        <w:t xml:space="preserve">Hyperion uses a two-font system: Inter for digital (web, app, presentations) and Arial for print (documents, PDFs). Both are widely available and render cleanly at small sizes — important for data-dense financial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4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Web (Inter)</w:t>
            </w:r>
          </w:p>
        </w:tc>
        <w:tc>
          <w:tcPr>
            <w:tcW w:type="dxa" w:w="14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Print (Arial)</w:t>
            </w:r>
          </w:p>
        </w:tc>
        <w:tc>
          <w:tcPr>
            <w:tcW w:type="dxa" w:w="18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6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Page Title</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32px</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18pt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Bold</w:t>
            </w:r>
          </w:p>
        </w:tc>
        <w:tc>
          <w:tcPr>
            <w:tcW w:type="dxa" w:w="2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Midnight</w:t>
            </w:r>
          </w:p>
        </w:tc>
      </w:tr>
      <w:tr>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Section Head</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24px</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14pt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Bold</w:t>
            </w:r>
          </w:p>
        </w:tc>
        <w:tc>
          <w:tcPr>
            <w:tcW w:type="dxa" w:w="2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Steel</w:t>
            </w:r>
          </w:p>
        </w:tc>
      </w:tr>
      <w:tr>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Body</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16px</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11pt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Regular</w:t>
            </w:r>
          </w:p>
        </w:tc>
        <w:tc>
          <w:tcPr>
            <w:tcW w:type="dxa" w:w="2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Smoke</w:t>
            </w:r>
          </w:p>
        </w:tc>
      </w:tr>
      <w:tr>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Caption / Label</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13px</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9pt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Regular</w:t>
            </w:r>
          </w:p>
        </w:tc>
        <w:tc>
          <w:tcPr>
            <w:tcW w:type="dxa" w:w="2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Smoke 80%</w:t>
            </w:r>
          </w:p>
        </w:tc>
      </w:tr>
      <w:tr>
        <w:tc>
          <w:tcPr>
            <w:tcW w:type="dxa" w:w="22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Data / Mono</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14px</w:t>
            </w:r>
          </w:p>
        </w:tc>
        <w:tc>
          <w:tcPr>
            <w:tcW w:type="dxa" w:w="1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10pt</w:t>
            </w:r>
          </w:p>
        </w:tc>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Regular (Mono)</w:t>
            </w:r>
          </w:p>
        </w:tc>
        <w:tc>
          <w:tcPr>
            <w:tcW w:type="dxa" w:w="2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Smoke</w:t>
            </w:r>
          </w:p>
        </w:tc>
      </w:tr>
    </w:tbl>
    <w:p>
      <w:pPr>
        <w:spacing w:before="200"/>
      </w:pPr>
    </w:p>
    <w:p>
      <w:pPr>
        <w:pStyle w:val="Heading2"/>
        <w:spacing w:after="150" w:before="300"/>
      </w:pPr>
      <w:r>
        <w:rPr>
          <w:rFonts w:ascii="Arial" w:cs="Arial" w:eastAsia="Arial" w:hAnsi="Arial"/>
          <w:b/>
          <w:bCs/>
          <w:color w:val="1B3A4B"/>
          <w:sz w:val="28"/>
          <w:szCs w:val="28"/>
        </w:rPr>
        <w:t xml:space="preserve">Monospace</w:t>
      </w:r>
    </w:p>
    <w:p>
      <w:pPr>
        <w:spacing w:after="160"/>
      </w:pPr>
      <w:r>
        <w:rPr>
          <w:rFonts w:ascii="Arial" w:cs="Arial" w:eastAsia="Arial" w:hAnsi="Arial"/>
          <w:b w:val="false"/>
          <w:bCs w:val="false"/>
          <w:i w:val="false"/>
          <w:iCs w:val="false"/>
          <w:color w:val="4A5568"/>
          <w:sz w:val="22"/>
          <w:szCs w:val="22"/>
        </w:rPr>
        <w:t xml:space="preserve">Use JetBrains Mono (web) or Courier New (print fallback) for data values, code snippets, ticker symbols, and statistical outputs. Monospace signals “this is a precise value” and differentiates data from prose.</w:t>
      </w:r>
    </w:p>
    <w:p>
      <w:pPr>
        <w:pStyle w:val="Heading2"/>
        <w:spacing w:after="150" w:before="300"/>
      </w:pPr>
      <w:r>
        <w:rPr>
          <w:rFonts w:ascii="Arial" w:cs="Arial" w:eastAsia="Arial" w:hAnsi="Arial"/>
          <w:b/>
          <w:bCs/>
          <w:color w:val="1B3A4B"/>
          <w:sz w:val="28"/>
          <w:szCs w:val="28"/>
        </w:rPr>
        <w:t xml:space="preserve">Typography Rules</w:t>
      </w:r>
    </w:p>
    <w:p>
      <w:pPr>
        <w:pStyle w:val="ListParagraph"/>
        <w:numPr>
          <w:ilvl w:val="0"/>
          <w:numId w:val="2"/>
        </w:numPr>
        <w:spacing w:after="80"/>
      </w:pPr>
      <w:r>
        <w:rPr>
          <w:rFonts w:ascii="Arial" w:cs="Arial" w:eastAsia="Arial" w:hAnsi="Arial"/>
          <w:color w:val="4A5568"/>
          <w:sz w:val="22"/>
          <w:szCs w:val="22"/>
        </w:rPr>
        <w:t xml:space="preserve">Never set body text below 14px (web) or 10pt (print)</w:t>
      </w:r>
    </w:p>
    <w:p>
      <w:pPr>
        <w:pStyle w:val="ListParagraph"/>
        <w:numPr>
          <w:ilvl w:val="0"/>
          <w:numId w:val="2"/>
        </w:numPr>
        <w:spacing w:after="80"/>
      </w:pPr>
      <w:r>
        <w:rPr>
          <w:rFonts w:ascii="Arial" w:cs="Arial" w:eastAsia="Arial" w:hAnsi="Arial"/>
          <w:color w:val="4A5568"/>
          <w:sz w:val="22"/>
          <w:szCs w:val="22"/>
        </w:rPr>
        <w:t xml:space="preserve">Use sentence case for all headings (“Phase 1 results” not “Phase 1 Results”)</w:t>
      </w:r>
    </w:p>
    <w:p>
      <w:pPr>
        <w:pStyle w:val="ListParagraph"/>
        <w:numPr>
          <w:ilvl w:val="0"/>
          <w:numId w:val="2"/>
        </w:numPr>
        <w:spacing w:after="80"/>
      </w:pPr>
      <w:r>
        <w:rPr>
          <w:rFonts w:ascii="Arial" w:cs="Arial" w:eastAsia="Arial" w:hAnsi="Arial"/>
          <w:color w:val="4A5568"/>
          <w:sz w:val="22"/>
          <w:szCs w:val="22"/>
        </w:rPr>
        <w:t xml:space="preserve">Tabular data: right-align numbers, left-align text, always include units</w:t>
      </w:r>
    </w:p>
    <w:p>
      <w:pPr>
        <w:pStyle w:val="ListParagraph"/>
        <w:numPr>
          <w:ilvl w:val="0"/>
          <w:numId w:val="2"/>
        </w:numPr>
        <w:spacing w:after="200"/>
      </w:pPr>
      <w:r>
        <w:rPr>
          <w:rFonts w:ascii="Arial" w:cs="Arial" w:eastAsia="Arial" w:hAnsi="Arial"/>
          <w:color w:val="4A5568"/>
          <w:sz w:val="22"/>
          <w:szCs w:val="22"/>
        </w:rPr>
        <w:t xml:space="preserve">Statistical values (t-stats, p-values, correlations) always in monospace</w:t>
      </w:r>
    </w:p>
    <w:p>
      <w:r>
        <w:br w:type="page"/>
      </w:r>
    </w:p>
    <w:p>
      <w:pPr>
        <w:pStyle w:val="Heading1"/>
        <w:spacing w:after="200" w:before="400"/>
      </w:pPr>
      <w:r>
        <w:rPr>
          <w:rFonts w:ascii="Arial" w:cs="Arial" w:eastAsia="Arial" w:hAnsi="Arial"/>
          <w:b/>
          <w:bCs/>
          <w:color w:val="0D1B2A"/>
          <w:sz w:val="36"/>
          <w:szCs w:val="36"/>
        </w:rPr>
        <w:t xml:space="preserve">5. Voice &amp; Tone</w:t>
      </w:r>
    </w:p>
    <w:p>
      <w:pPr>
        <w:pBdr>
          <w:bottom w:val="single" w:color="2E75B6" w:sz="8" w:space="4"/>
        </w:pBdr>
        <w:spacing w:after="200"/>
      </w:pPr>
    </w:p>
    <w:p>
      <w:pPr>
        <w:spacing w:after="160"/>
      </w:pPr>
      <w:r>
        <w:rPr>
          <w:rFonts w:ascii="Arial" w:cs="Arial" w:eastAsia="Arial" w:hAnsi="Arial"/>
          <w:b w:val="false"/>
          <w:bCs w:val="false"/>
          <w:i w:val="false"/>
          <w:iCs w:val="false"/>
          <w:color w:val="4A5568"/>
          <w:sz w:val="22"/>
          <w:szCs w:val="22"/>
        </w:rPr>
        <w:t xml:space="preserve">Hyperion’s voice is that of a sharp, well-prepared analyst — someone who has done the homework, respects your time, and doesn’t hide behind jargon. The tone shifts depending on audience, but the voice stays consistent.</w:t>
      </w:r>
    </w:p>
    <w:p>
      <w:pPr>
        <w:pStyle w:val="Heading2"/>
        <w:spacing w:after="150" w:before="300"/>
      </w:pPr>
      <w:r>
        <w:rPr>
          <w:rFonts w:ascii="Arial" w:cs="Arial" w:eastAsia="Arial" w:hAnsi="Arial"/>
          <w:b/>
          <w:bCs/>
          <w:color w:val="1B3A4B"/>
          <w:sz w:val="28"/>
          <w:szCs w:val="28"/>
        </w:rPr>
        <w:t xml:space="preserve">Writing Principles</w:t>
      </w:r>
    </w:p>
    <w:p>
      <w:pPr>
        <w:pStyle w:val="ListParagraph"/>
        <w:numPr>
          <w:ilvl w:val="0"/>
          <w:numId w:val="2"/>
        </w:numPr>
        <w:spacing w:after="120"/>
      </w:pPr>
      <w:r>
        <w:rPr>
          <w:rFonts w:ascii="Arial" w:cs="Arial" w:eastAsia="Arial" w:hAnsi="Arial"/>
          <w:b/>
          <w:bCs/>
          <w:color w:val="0D1B2A"/>
          <w:sz w:val="22"/>
          <w:szCs w:val="22"/>
        </w:rPr>
        <w:t xml:space="preserve">Lead with the finding, not the method. </w:t>
      </w:r>
      <w:r>
        <w:rPr>
          <w:rFonts w:ascii="Arial" w:cs="Arial" w:eastAsia="Arial" w:hAnsi="Arial"/>
          <w:color w:val="4A5568"/>
          <w:sz w:val="22"/>
          <w:szCs w:val="22"/>
        </w:rPr>
        <w:t xml:space="preserve">“SAE finds 26% more similar companies within industries” before “using cosine similarity on PCA-reduced SAE feature vectors.”</w:t>
      </w:r>
    </w:p>
    <w:p>
      <w:pPr>
        <w:pStyle w:val="ListParagraph"/>
        <w:numPr>
          <w:ilvl w:val="0"/>
          <w:numId w:val="2"/>
        </w:numPr>
        <w:spacing w:after="120"/>
      </w:pPr>
      <w:r>
        <w:rPr>
          <w:rFonts w:ascii="Arial" w:cs="Arial" w:eastAsia="Arial" w:hAnsi="Arial"/>
          <w:b/>
          <w:bCs/>
          <w:color w:val="0D1B2A"/>
          <w:sz w:val="22"/>
          <w:szCs w:val="22"/>
        </w:rPr>
        <w:t xml:space="preserve">Quantify everything. </w:t>
      </w:r>
      <w:r>
        <w:rPr>
          <w:rFonts w:ascii="Arial" w:cs="Arial" w:eastAsia="Arial" w:hAnsi="Arial"/>
          <w:color w:val="4A5568"/>
          <w:sz w:val="22"/>
          <w:szCs w:val="22"/>
        </w:rPr>
        <w:t xml:space="preserve">Never say “significantly better” without a number. Say “+26% precision lift at K=1, t=5.57.”</w:t>
      </w:r>
    </w:p>
    <w:p>
      <w:pPr>
        <w:pStyle w:val="ListParagraph"/>
        <w:numPr>
          <w:ilvl w:val="0"/>
          <w:numId w:val="2"/>
        </w:numPr>
        <w:spacing w:after="120"/>
      </w:pPr>
      <w:r>
        <w:rPr>
          <w:rFonts w:ascii="Arial" w:cs="Arial" w:eastAsia="Arial" w:hAnsi="Arial"/>
          <w:b/>
          <w:bCs/>
          <w:color w:val="0D1B2A"/>
          <w:sz w:val="22"/>
          <w:szCs w:val="22"/>
        </w:rPr>
        <w:t xml:space="preserve">Admit limits plainly. </w:t>
      </w:r>
      <w:r>
        <w:rPr>
          <w:rFonts w:ascii="Arial" w:cs="Arial" w:eastAsia="Arial" w:hAnsi="Arial"/>
          <w:color w:val="4A5568"/>
          <w:sz w:val="22"/>
          <w:szCs w:val="22"/>
        </w:rPr>
        <w:t xml:space="preserve">“SAE loses to SIC in global retrieval (0.222 vs 0.244). That’s why we use it as a re-ranker, not a standalone.”</w:t>
      </w:r>
    </w:p>
    <w:p>
      <w:pPr>
        <w:pStyle w:val="ListParagraph"/>
        <w:numPr>
          <w:ilvl w:val="0"/>
          <w:numId w:val="2"/>
        </w:numPr>
        <w:spacing w:after="120"/>
      </w:pPr>
      <w:r>
        <w:rPr>
          <w:rFonts w:ascii="Arial" w:cs="Arial" w:eastAsia="Arial" w:hAnsi="Arial"/>
          <w:b/>
          <w:bCs/>
          <w:color w:val="0D1B2A"/>
          <w:sz w:val="22"/>
          <w:szCs w:val="22"/>
        </w:rPr>
        <w:t xml:space="preserve">No superlatives without evidence. </w:t>
      </w:r>
      <w:r>
        <w:rPr>
          <w:rFonts w:ascii="Arial" w:cs="Arial" w:eastAsia="Arial" w:hAnsi="Arial"/>
          <w:color w:val="4A5568"/>
          <w:sz w:val="22"/>
          <w:szCs w:val="22"/>
        </w:rPr>
        <w:t xml:space="preserve">Avoid “revolutionary,” “breakthrough,” “unprecedented.” Let the statistics speak.</w:t>
      </w:r>
    </w:p>
    <w:p>
      <w:pPr>
        <w:pStyle w:val="ListParagraph"/>
        <w:numPr>
          <w:ilvl w:val="0"/>
          <w:numId w:val="2"/>
        </w:numPr>
        <w:spacing w:after="200"/>
      </w:pPr>
      <w:r>
        <w:rPr>
          <w:rFonts w:ascii="Arial" w:cs="Arial" w:eastAsia="Arial" w:hAnsi="Arial"/>
          <w:b/>
          <w:bCs/>
          <w:color w:val="0D1B2A"/>
          <w:sz w:val="22"/>
          <w:szCs w:val="22"/>
        </w:rPr>
        <w:t xml:space="preserve">Write for the skeptic. </w:t>
      </w:r>
      <w:r>
        <w:rPr>
          <w:rFonts w:ascii="Arial" w:cs="Arial" w:eastAsia="Arial" w:hAnsi="Arial"/>
          <w:color w:val="4A5568"/>
          <w:sz w:val="22"/>
          <w:szCs w:val="22"/>
        </w:rPr>
        <w:t xml:space="preserve">Our audience is professional analysts who have seen every fintech pitch. Earn trust through precision, not enthusiasm.</w:t>
      </w:r>
    </w:p>
    <w:p>
      <w:pPr>
        <w:pStyle w:val="Heading2"/>
        <w:spacing w:after="150" w:before="300"/>
      </w:pPr>
      <w:r>
        <w:rPr>
          <w:rFonts w:ascii="Arial" w:cs="Arial" w:eastAsia="Arial" w:hAnsi="Arial"/>
          <w:b/>
          <w:bCs/>
          <w:color w:val="1B3A4B"/>
          <w:sz w:val="28"/>
          <w:szCs w:val="28"/>
        </w:rPr>
        <w:t xml:space="preserve">Tone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4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356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Website hero</w:t>
            </w:r>
          </w:p>
        </w:tc>
        <w:tc>
          <w:tcPr>
            <w:tcW w:type="dxa" w:w="3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Confident, concise</w:t>
            </w:r>
          </w:p>
        </w:tc>
        <w:tc>
          <w:tcPr>
            <w:tcW w:type="dxa" w:w="3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Find companies that actually match.</w:t>
            </w:r>
          </w:p>
        </w:tc>
      </w:tr>
      <w:tr>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Product UI</w:t>
            </w:r>
          </w:p>
        </w:tc>
        <w:tc>
          <w:tcPr>
            <w:tcW w:type="dxa" w:w="3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Helpful, direct</w:t>
            </w:r>
          </w:p>
        </w:tc>
        <w:tc>
          <w:tcPr>
            <w:tcW w:type="dxa" w:w="3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3 companies share 4+ features with PLTR.</w:t>
            </w:r>
          </w:p>
        </w:tc>
      </w:tr>
      <w:tr>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Technical docs</w:t>
            </w:r>
          </w:p>
        </w:tc>
        <w:tc>
          <w:tcPr>
            <w:tcW w:type="dxa" w:w="3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Precise, thorough</w:t>
            </w:r>
          </w:p>
        </w:tc>
        <w:tc>
          <w:tcPr>
            <w:tcW w:type="dxa" w:w="3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SAE MC = 0.359 (BCa 95% CI: [0.312, 0.418])</w:t>
            </w:r>
          </w:p>
        </w:tc>
      </w:tr>
      <w:tr>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Investor comms</w:t>
            </w:r>
          </w:p>
        </w:tc>
        <w:tc>
          <w:tcPr>
            <w:tcW w:type="dxa" w:w="3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Measured, evidence-led</w:t>
            </w:r>
          </w:p>
        </w:tc>
        <w:tc>
          <w:tcPr>
            <w:tcW w:type="dxa" w:w="3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Phase 1 validation: 13 tests, 3 layers, all passed.</w:t>
            </w:r>
          </w:p>
        </w:tc>
      </w:tr>
      <w:tr>
        <w:tc>
          <w:tcPr>
            <w:tcW w:type="dxa" w:w="2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Error states</w:t>
            </w:r>
          </w:p>
        </w:tc>
        <w:tc>
          <w:tcPr>
            <w:tcW w:type="dxa" w:w="34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Clear, non-blaming</w:t>
            </w:r>
          </w:p>
        </w:tc>
        <w:tc>
          <w:tcPr>
            <w:tcW w:type="dxa" w:w="3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4A5568"/>
                <w:sz w:val="20"/>
                <w:szCs w:val="20"/>
              </w:rPr>
              <w:t xml:space="preserve">We couldn’t load filings for this ticker. Try a CIK instead.</w:t>
            </w:r>
          </w:p>
        </w:tc>
      </w:tr>
    </w:tbl>
    <w:p>
      <w:r>
        <w:br w:type="page"/>
      </w:r>
    </w:p>
    <w:p>
      <w:pPr>
        <w:pStyle w:val="Heading1"/>
        <w:spacing w:after="200" w:before="400"/>
      </w:pPr>
      <w:r>
        <w:rPr>
          <w:rFonts w:ascii="Arial" w:cs="Arial" w:eastAsia="Arial" w:hAnsi="Arial"/>
          <w:b/>
          <w:bCs/>
          <w:color w:val="0D1B2A"/>
          <w:sz w:val="36"/>
          <w:szCs w:val="36"/>
        </w:rPr>
        <w:t xml:space="preserve">6. Approved Statistics</w:t>
      </w:r>
    </w:p>
    <w:p>
      <w:pPr>
        <w:pBdr>
          <w:bottom w:val="single" w:color="2E75B6" w:sz="8" w:space="4"/>
        </w:pBdr>
        <w:spacing w:after="200"/>
      </w:pPr>
    </w:p>
    <w:p>
      <w:pPr>
        <w:spacing w:after="160"/>
      </w:pPr>
      <w:r>
        <w:rPr>
          <w:rFonts w:ascii="Arial" w:cs="Arial" w:eastAsia="Arial" w:hAnsi="Arial"/>
          <w:b w:val="false"/>
          <w:bCs w:val="false"/>
          <w:i w:val="false"/>
          <w:iCs w:val="false"/>
          <w:color w:val="4A5568"/>
          <w:sz w:val="22"/>
          <w:szCs w:val="22"/>
        </w:rPr>
        <w:t xml:space="preserve">These are the validated numbers you may use in marketing materials. Each has been tested with bootstrap confidence intervals and multiple-testing correction. Do not round, embellish, or restate without the qualifying context.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00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3360"/>
            <w:tcBorders>
              <w:top w:val="single" w:color="E2E8F0" w:sz="1"/>
              <w:left w:val="single" w:color="E2E8F0" w:sz="1"/>
              <w:bottom w:val="single" w:color="E2E8F0" w:sz="1"/>
              <w:right w:val="single" w:color="E2E8F0"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Context / Qualifier</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Beats SIC classification</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t = 5.57</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Nearly 2x the Harvey-Liu-Zhu gold standard (t &gt; 3.0)</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Within-industry precision lift</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+26% at K=1</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Compared to random selection within same SIC code</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Signal survives factor removal</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96–99%</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After Fama-French 5-factor regression (median R² = 3%)</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Rolling window consistency</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21/21 wins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5-year rolling windows, 1996–2020</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Data coverage</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14.9M pairs, 25 years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US public companies, 1996–2020</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Interpretable features</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131,072</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Each maps to a labeled concept from Llama 3 8B layer 30</w:t>
            </w:r>
          </w:p>
        </w:tc>
      </w:tr>
      <w:tr>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Jackknife robustness</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b/>
                <w:bCs/>
                <w:color w:val="4A5568"/>
                <w:sz w:val="20"/>
                <w:szCs w:val="20"/>
              </w:rPr>
              <w:t xml:space="preserve">0 flipping tickers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4A5568"/>
                <w:sz w:val="20"/>
                <w:szCs w:val="20"/>
              </w:rPr>
              <w:t xml:space="preserve">No single company removal changes the conclusion</w:t>
            </w:r>
          </w:p>
        </w:tc>
      </w:tr>
    </w:tbl>
    <w:p>
      <w:pPr>
        <w:spacing w:before="200"/>
      </w:pPr>
    </w:p>
    <w:p>
      <w:pPr>
        <w:pStyle w:val="Heading2"/>
        <w:spacing w:after="150" w:before="300"/>
      </w:pPr>
      <w:r>
        <w:rPr>
          <w:rFonts w:ascii="Arial" w:cs="Arial" w:eastAsia="Arial" w:hAnsi="Arial"/>
          <w:b/>
          <w:bCs/>
          <w:color w:val="1B3A4B"/>
          <w:sz w:val="28"/>
          <w:szCs w:val="28"/>
        </w:rPr>
        <w:t xml:space="preserve">Statistics You Must Not Claim</w:t>
      </w:r>
    </w:p>
    <w:p>
      <w:pPr>
        <w:pStyle w:val="ListParagraph"/>
        <w:numPr>
          <w:ilvl w:val="0"/>
          <w:numId w:val="3"/>
        </w:numPr>
        <w:spacing w:after="80"/>
      </w:pPr>
      <w:r>
        <w:rPr>
          <w:rFonts w:ascii="Arial" w:cs="Arial" w:eastAsia="Arial" w:hAnsi="Arial"/>
          <w:color w:val="4A5568"/>
          <w:sz w:val="22"/>
          <w:szCs w:val="22"/>
        </w:rPr>
        <w:t xml:space="preserve">Don’t say “better than all alternatives” — SAE loses to SIC in global retrieval (0.222 vs 0.244)</w:t>
      </w:r>
    </w:p>
    <w:p>
      <w:pPr>
        <w:pStyle w:val="ListParagraph"/>
        <w:numPr>
          <w:ilvl w:val="0"/>
          <w:numId w:val="3"/>
        </w:numPr>
        <w:spacing w:after="80"/>
      </w:pPr>
      <w:r>
        <w:rPr>
          <w:rFonts w:ascii="Arial" w:cs="Arial" w:eastAsia="Arial" w:hAnsi="Arial"/>
          <w:color w:val="4A5568"/>
          <w:sz w:val="22"/>
          <w:szCs w:val="22"/>
        </w:rPr>
        <w:t xml:space="preserve">Don’t claim “predicts returns” — Hyperion finds structural similarity, not alpha</w:t>
      </w:r>
    </w:p>
    <w:p>
      <w:pPr>
        <w:pStyle w:val="ListParagraph"/>
        <w:numPr>
          <w:ilvl w:val="0"/>
          <w:numId w:val="3"/>
        </w:numPr>
        <w:spacing w:after="80"/>
      </w:pPr>
      <w:r>
        <w:rPr>
          <w:rFonts w:ascii="Arial" w:cs="Arial" w:eastAsia="Arial" w:hAnsi="Arial"/>
          <w:color w:val="4A5568"/>
          <w:sz w:val="22"/>
          <w:szCs w:val="22"/>
        </w:rPr>
        <w:t xml:space="preserve">Don’t use “AI-powered” without specifying the mechanism (SAE on Llama 3 activations)</w:t>
      </w:r>
    </w:p>
    <w:p>
      <w:pPr>
        <w:pStyle w:val="ListParagraph"/>
        <w:numPr>
          <w:ilvl w:val="0"/>
          <w:numId w:val="3"/>
        </w:numPr>
        <w:spacing w:after="200"/>
      </w:pPr>
      <w:r>
        <w:rPr>
          <w:rFonts w:ascii="Arial" w:cs="Arial" w:eastAsia="Arial" w:hAnsi="Arial"/>
          <w:color w:val="4A5568"/>
          <w:sz w:val="22"/>
          <w:szCs w:val="22"/>
        </w:rPr>
        <w:t xml:space="preserve">Don’t omit the re-ranker context — always clarify SAE works within industries, not as a global replacement</w:t>
      </w:r>
    </w:p>
    <w:p>
      <w:r>
        <w:br w:type="page"/>
      </w:r>
    </w:p>
    <w:p>
      <w:pPr>
        <w:pStyle w:val="Heading1"/>
        <w:spacing w:after="200" w:before="400"/>
      </w:pPr>
      <w:r>
        <w:rPr>
          <w:rFonts w:ascii="Arial" w:cs="Arial" w:eastAsia="Arial" w:hAnsi="Arial"/>
          <w:b/>
          <w:bCs/>
          <w:color w:val="0D1B2A"/>
          <w:sz w:val="36"/>
          <w:szCs w:val="36"/>
        </w:rPr>
        <w:t xml:space="preserve">7. Web &amp; Digital Guidelines</w:t>
      </w:r>
    </w:p>
    <w:p>
      <w:pPr>
        <w:pBdr>
          <w:bottom w:val="single" w:color="2E75B6" w:sz="8" w:space="4"/>
        </w:pBdr>
        <w:spacing w:after="200"/>
      </w:pPr>
    </w:p>
    <w:p>
      <w:pPr>
        <w:pStyle w:val="Heading2"/>
        <w:spacing w:after="150" w:before="300"/>
      </w:pPr>
      <w:r>
        <w:rPr>
          <w:rFonts w:ascii="Arial" w:cs="Arial" w:eastAsia="Arial" w:hAnsi="Arial"/>
          <w:b/>
          <w:bCs/>
          <w:color w:val="1B3A4B"/>
          <w:sz w:val="28"/>
          <w:szCs w:val="28"/>
        </w:rPr>
        <w:t xml:space="preserve">Website Structure</w:t>
      </w:r>
    </w:p>
    <w:p>
      <w:pPr>
        <w:spacing w:after="160"/>
      </w:pPr>
      <w:r>
        <w:rPr>
          <w:rFonts w:ascii="Arial" w:cs="Arial" w:eastAsia="Arial" w:hAnsi="Arial"/>
          <w:b w:val="false"/>
          <w:bCs w:val="false"/>
          <w:i w:val="false"/>
          <w:iCs w:val="false"/>
          <w:color w:val="4A5568"/>
          <w:sz w:val="22"/>
          <w:szCs w:val="22"/>
        </w:rPr>
        <w:t xml:space="preserve">The Hyperion website should be a single-page scroll (no multi-page site until product launches). Sections in order: Hero (tagline + one-line explanation), How It Works (3-stage pipeline visual), Validation (key stats grid), Use Cases (analyst workflow), Technical Foundation (for the skeptics), and CTA (waitlist or demo).</w:t>
      </w:r>
    </w:p>
    <w:p>
      <w:pPr>
        <w:pStyle w:val="Heading2"/>
        <w:spacing w:after="150" w:before="300"/>
      </w:pPr>
      <w:r>
        <w:rPr>
          <w:rFonts w:ascii="Arial" w:cs="Arial" w:eastAsia="Arial" w:hAnsi="Arial"/>
          <w:b/>
          <w:bCs/>
          <w:color w:val="1B3A4B"/>
          <w:sz w:val="28"/>
          <w:szCs w:val="28"/>
        </w:rPr>
        <w:t xml:space="preserve">Hero Section</w:t>
      </w:r>
    </w:p>
    <w:p>
      <w:pPr>
        <w:spacing w:after="160"/>
      </w:pPr>
      <w:r>
        <w:rPr>
          <w:rFonts w:ascii="Arial" w:cs="Arial" w:eastAsia="Arial" w:hAnsi="Arial"/>
          <w:b w:val="false"/>
          <w:bCs w:val="false"/>
          <w:i w:val="false"/>
          <w:iCs w:val="false"/>
          <w:color w:val="4A5568"/>
          <w:sz w:val="22"/>
          <w:szCs w:val="22"/>
        </w:rPr>
        <w:t xml:space="preserve">Background: Midnight (#0D1B2A). Primary text: White. Tagline in Inter Bold 48px. Subtext in Inter Regular 20px, Ice color. One clear CTA button in Azure with White text. No stock photos of “analysts looking at screens.”</w:t>
      </w:r>
    </w:p>
    <w:p>
      <w:pPr>
        <w:pStyle w:val="Heading2"/>
        <w:spacing w:after="150" w:before="300"/>
      </w:pPr>
      <w:r>
        <w:rPr>
          <w:rFonts w:ascii="Arial" w:cs="Arial" w:eastAsia="Arial" w:hAnsi="Arial"/>
          <w:b/>
          <w:bCs/>
          <w:color w:val="1B3A4B"/>
          <w:sz w:val="28"/>
          <w:szCs w:val="28"/>
        </w:rPr>
        <w:t xml:space="preserve">Data Visualization</w:t>
      </w:r>
    </w:p>
    <w:p>
      <w:pPr>
        <w:pStyle w:val="ListParagraph"/>
        <w:numPr>
          <w:ilvl w:val="0"/>
          <w:numId w:val="2"/>
        </w:numPr>
        <w:spacing w:after="80"/>
      </w:pPr>
      <w:r>
        <w:rPr>
          <w:rFonts w:ascii="Arial" w:cs="Arial" w:eastAsia="Arial" w:hAnsi="Arial"/>
          <w:color w:val="4A5568"/>
          <w:sz w:val="22"/>
          <w:szCs w:val="22"/>
        </w:rPr>
        <w:t xml:space="preserve">Primary chart color: Azure (#2E75B6). Secondary: Ice (#6DAEDB). Tertiary: Gold (#D4A843)</w:t>
      </w:r>
    </w:p>
    <w:p>
      <w:pPr>
        <w:pStyle w:val="ListParagraph"/>
        <w:numPr>
          <w:ilvl w:val="0"/>
          <w:numId w:val="2"/>
        </w:numPr>
        <w:spacing w:after="80"/>
      </w:pPr>
      <w:r>
        <w:rPr>
          <w:rFonts w:ascii="Arial" w:cs="Arial" w:eastAsia="Arial" w:hAnsi="Arial"/>
          <w:color w:val="4A5568"/>
          <w:sz w:val="22"/>
          <w:szCs w:val="22"/>
        </w:rPr>
        <w:t xml:space="preserve">Always include axis labels and units. Financial data without units is malpractice</w:t>
      </w:r>
    </w:p>
    <w:p>
      <w:pPr>
        <w:pStyle w:val="ListParagraph"/>
        <w:numPr>
          <w:ilvl w:val="0"/>
          <w:numId w:val="2"/>
        </w:numPr>
        <w:spacing w:after="80"/>
      </w:pPr>
      <w:r>
        <w:rPr>
          <w:rFonts w:ascii="Arial" w:cs="Arial" w:eastAsia="Arial" w:hAnsi="Arial"/>
          <w:color w:val="4A5568"/>
          <w:sz w:val="22"/>
          <w:szCs w:val="22"/>
        </w:rPr>
        <w:t xml:space="preserve">Similarity graphs: nodes in Azure, edges weighted by cosine sim (thicker = more similar), cluster boundaries in Ice dashed</w:t>
      </w:r>
    </w:p>
    <w:p>
      <w:pPr>
        <w:pStyle w:val="ListParagraph"/>
        <w:numPr>
          <w:ilvl w:val="0"/>
          <w:numId w:val="2"/>
        </w:numPr>
        <w:spacing w:after="200"/>
      </w:pPr>
      <w:r>
        <w:rPr>
          <w:rFonts w:ascii="Arial" w:cs="Arial" w:eastAsia="Arial" w:hAnsi="Arial"/>
          <w:color w:val="4A5568"/>
          <w:sz w:val="22"/>
          <w:szCs w:val="22"/>
        </w:rPr>
        <w:t xml:space="preserve">Use Midnight backgrounds for dashboard-style visualizations, White backgrounds for report-style</w:t>
      </w:r>
    </w:p>
    <w:p>
      <w:pPr>
        <w:pStyle w:val="Heading2"/>
        <w:spacing w:after="150" w:before="300"/>
      </w:pPr>
      <w:r>
        <w:rPr>
          <w:rFonts w:ascii="Arial" w:cs="Arial" w:eastAsia="Arial" w:hAnsi="Arial"/>
          <w:b/>
          <w:bCs/>
          <w:color w:val="1B3A4B"/>
          <w:sz w:val="28"/>
          <w:szCs w:val="28"/>
        </w:rPr>
        <w:t xml:space="preserve">Favicon &amp; Social</w:t>
      </w:r>
    </w:p>
    <w:p>
      <w:pPr>
        <w:spacing w:after="160"/>
      </w:pPr>
      <w:r>
        <w:rPr>
          <w:rFonts w:ascii="Arial" w:cs="Arial" w:eastAsia="Arial" w:hAnsi="Arial"/>
          <w:b w:val="false"/>
          <w:bCs w:val="false"/>
          <w:i w:val="false"/>
          <w:iCs w:val="false"/>
          <w:color w:val="4A5568"/>
          <w:sz w:val="22"/>
          <w:szCs w:val="22"/>
        </w:rPr>
        <w:t xml:space="preserve">Favicon: A single capital “H” in Arial Bold, Azure on Midnight, 32x32px. Social preview image (Open Graph): the spaced wordmark centered on a Midnight background, 1200x630px. Twitter card: same image, summary_large_image format.</w:t>
      </w:r>
    </w:p>
    <w:p>
      <w:pPr>
        <w:spacing w:before="400"/>
      </w:pPr>
    </w:p>
    <w:p>
      <w:pPr>
        <w:pBdr>
          <w:bottom w:val="single" w:color="D4A843" w:sz="8" w:space="4"/>
        </w:pBdr>
        <w:spacing w:after="200"/>
      </w:pPr>
    </w:p>
    <w:p>
      <w:pPr>
        <w:spacing w:before="200"/>
        <w:jc w:val="center"/>
      </w:pPr>
      <w:r>
        <w:rPr>
          <w:rFonts w:ascii="Arial" w:cs="Arial" w:eastAsia="Arial" w:hAnsi="Arial"/>
          <w:i/>
          <w:iCs/>
          <w:color w:val="4A5568"/>
          <w:sz w:val="22"/>
          <w:szCs w:val="22"/>
        </w:rPr>
        <w:t xml:space="preserve">Questions? Contact the Hyperion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4A5568"/>
        <w:sz w:val="18"/>
        <w:szCs w:val="18"/>
      </w:rPr>
      <w:t xml:space="preserve">Hyperion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3A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2026-04-13T00:29:23.495Z</dcterms:created>
  <dcterms:modified xsi:type="dcterms:W3CDTF">2026-04-13T00:29:23.496Z</dcterms:modified>
</cp:coreProperties>
</file>

<file path=docProps/custom.xml><?xml version="1.0" encoding="utf-8"?>
<Properties xmlns="http://schemas.openxmlformats.org/officeDocument/2006/custom-properties" xmlns:vt="http://schemas.openxmlformats.org/officeDocument/2006/docPropsVTypes"/>
</file>