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F7" w:rsidRPr="00D710F7" w:rsidRDefault="00D710F7" w:rsidP="00D710F7">
      <w:pPr>
        <w:pStyle w:val="Default"/>
        <w:rPr>
          <w:b/>
          <w:sz w:val="22"/>
          <w:szCs w:val="22"/>
        </w:rPr>
      </w:pPr>
    </w:p>
    <w:p w:rsidR="00D710F7" w:rsidRPr="00D710F7" w:rsidRDefault="00D710F7" w:rsidP="00D710F7">
      <w:pPr>
        <w:pStyle w:val="Default"/>
        <w:ind w:firstLine="45"/>
        <w:rPr>
          <w:b/>
          <w:sz w:val="22"/>
          <w:szCs w:val="22"/>
          <w:lang w:val="en-US"/>
        </w:rPr>
      </w:pPr>
    </w:p>
    <w:p w:rsidR="00D710F7" w:rsidRDefault="00D710F7" w:rsidP="00D710F7">
      <w:pPr>
        <w:pStyle w:val="Default"/>
        <w:numPr>
          <w:ilvl w:val="0"/>
          <w:numId w:val="1"/>
        </w:numPr>
        <w:spacing w:after="57"/>
        <w:rPr>
          <w:b/>
          <w:sz w:val="22"/>
          <w:szCs w:val="22"/>
          <w:lang w:val="en-US"/>
        </w:rPr>
      </w:pPr>
      <w:r w:rsidRPr="00D710F7">
        <w:rPr>
          <w:b/>
          <w:sz w:val="22"/>
          <w:szCs w:val="22"/>
          <w:lang w:val="en-US"/>
        </w:rPr>
        <w:t>Define radiation dose from energy budget. Consider(1)irradiationwith electrons and (2) with photons. Why do we have to include Rin,g</w:t>
      </w:r>
      <w:r w:rsidR="00C532A2">
        <w:rPr>
          <w:b/>
          <w:sz w:val="22"/>
          <w:szCs w:val="22"/>
          <w:lang w:val="en-US"/>
        </w:rPr>
        <w:t xml:space="preserve"> </w:t>
      </w:r>
      <w:r w:rsidRPr="00D710F7">
        <w:rPr>
          <w:b/>
          <w:sz w:val="22"/>
          <w:szCs w:val="22"/>
          <w:lang w:val="en-US"/>
        </w:rPr>
        <w:t>and Rin,c</w:t>
      </w:r>
      <w:r w:rsidR="00C532A2">
        <w:rPr>
          <w:b/>
          <w:sz w:val="22"/>
          <w:szCs w:val="22"/>
          <w:lang w:val="en-US"/>
        </w:rPr>
        <w:t xml:space="preserve"> </w:t>
      </w:r>
      <w:r w:rsidRPr="00D710F7">
        <w:rPr>
          <w:b/>
          <w:sz w:val="22"/>
          <w:szCs w:val="22"/>
          <w:lang w:val="en-US"/>
        </w:rPr>
        <w:t xml:space="preserve">for case (1) and (2), respectively? </w:t>
      </w:r>
    </w:p>
    <w:p w:rsidR="00D710F7" w:rsidRDefault="00C532A2" w:rsidP="00D710F7">
      <w:pPr>
        <w:pStyle w:val="Default"/>
        <w:spacing w:after="57"/>
        <w:rPr>
          <w:sz w:val="22"/>
          <w:szCs w:val="22"/>
        </w:rPr>
      </w:pPr>
      <w:r w:rsidRPr="00C532A2">
        <w:rPr>
          <w:sz w:val="22"/>
          <w:szCs w:val="22"/>
        </w:rPr>
        <w:t xml:space="preserve">For fotoner er det det samme som før. </w:t>
      </w:r>
      <w:r>
        <w:rPr>
          <w:sz w:val="22"/>
          <w:szCs w:val="22"/>
        </w:rPr>
        <w:t>For elektroner derimot er det det samme egentlig. Grunnet at det er det samme er at elektroner har en sjanse til å gi fra seg bremsestråling.</w:t>
      </w:r>
    </w:p>
    <w:p w:rsidR="00C532A2" w:rsidRPr="00C532A2" w:rsidRDefault="00C532A2" w:rsidP="00D710F7">
      <w:pPr>
        <w:pStyle w:val="Default"/>
        <w:spacing w:after="57"/>
        <w:rPr>
          <w:sz w:val="22"/>
          <w:szCs w:val="22"/>
        </w:rPr>
      </w:pPr>
      <w:r>
        <w:rPr>
          <w:sz w:val="22"/>
          <w:szCs w:val="22"/>
        </w:rPr>
        <w:tab/>
      </w:r>
    </w:p>
    <w:p w:rsidR="00D710F7" w:rsidRDefault="00D710F7" w:rsidP="00D710F7">
      <w:pPr>
        <w:pStyle w:val="Default"/>
        <w:numPr>
          <w:ilvl w:val="0"/>
          <w:numId w:val="1"/>
        </w:numPr>
        <w:spacing w:after="57"/>
        <w:rPr>
          <w:b/>
          <w:sz w:val="22"/>
          <w:szCs w:val="22"/>
          <w:lang w:val="en-US"/>
        </w:rPr>
      </w:pPr>
      <w:r w:rsidRPr="00D710F7">
        <w:rPr>
          <w:b/>
          <w:sz w:val="22"/>
          <w:szCs w:val="22"/>
          <w:lang w:val="en-US"/>
        </w:rPr>
        <w:t>Copper (Z=29) and aluminum (Z=13) are irradiated with 50 keV</w:t>
      </w:r>
      <w:r w:rsidR="00745B0F">
        <w:rPr>
          <w:b/>
          <w:sz w:val="22"/>
          <w:szCs w:val="22"/>
          <w:lang w:val="en-US"/>
        </w:rPr>
        <w:t xml:space="preserve"> </w:t>
      </w:r>
      <w:r w:rsidRPr="00D710F7">
        <w:rPr>
          <w:b/>
          <w:sz w:val="22"/>
          <w:szCs w:val="22"/>
          <w:lang w:val="en-US"/>
        </w:rPr>
        <w:t>photons. Energy fluence is identical for the two cases. Assume</w:t>
      </w:r>
      <w:r w:rsidR="00DC685B">
        <w:rPr>
          <w:b/>
          <w:sz w:val="22"/>
          <w:szCs w:val="22"/>
          <w:lang w:val="en-US"/>
        </w:rPr>
        <w:t xml:space="preserve"> </w:t>
      </w:r>
      <w:r w:rsidRPr="00D710F7">
        <w:rPr>
          <w:b/>
          <w:sz w:val="22"/>
          <w:szCs w:val="22"/>
          <w:lang w:val="en-US"/>
        </w:rPr>
        <w:t>CPE.Will the two metals receive the same dose? If not, which will receive the highest dose?</w:t>
      </w:r>
    </w:p>
    <w:p w:rsidR="00EA2CB7" w:rsidRDefault="00745B0F" w:rsidP="00EA2CB7">
      <w:pPr>
        <w:pStyle w:val="Default"/>
        <w:spacing w:after="57"/>
        <w:rPr>
          <w:sz w:val="22"/>
          <w:szCs w:val="22"/>
        </w:rPr>
      </w:pPr>
      <w:r w:rsidRPr="00745B0F">
        <w:rPr>
          <w:sz w:val="22"/>
          <w:szCs w:val="22"/>
        </w:rPr>
        <w:t xml:space="preserve">Hvis energy </w:t>
      </w:r>
      <w:r>
        <w:rPr>
          <w:sz w:val="22"/>
          <w:szCs w:val="22"/>
        </w:rPr>
        <w:t>fluensen er lik, så antar vi også at det er bremsestråling.</w:t>
      </w:r>
    </w:p>
    <w:p w:rsidR="00745B0F" w:rsidRDefault="00745B0F" w:rsidP="00EA2CB7">
      <w:pPr>
        <w:pStyle w:val="Default"/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I dette tilfellet er </w:t>
      </w:r>
    </w:p>
    <w:p w:rsidR="00745B0F" w:rsidRDefault="00745B0F" w:rsidP="00EA2CB7">
      <w:pPr>
        <w:pStyle w:val="Default"/>
        <w:spacing w:after="57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D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CPE</m:t>
              </m:r>
            </m:e>
          </m:m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mr>
        </m:m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Ψ</m:t>
        </m:r>
        <m:r>
          <w:rPr>
            <w:rFonts w:ascii="Cambria Math" w:eastAsiaTheme="minorEastAsia" w:hAnsi="Cambria Math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en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ρ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)</m:t>
        </m:r>
      </m:oMath>
    </w:p>
    <w:p w:rsidR="00CB53E9" w:rsidRDefault="00CB53E9" w:rsidP="00EA2CB7">
      <w:pPr>
        <w:pStyle w:val="Default"/>
        <w:spacing w:after="57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Da er det jo bare fyll inn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en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/ρ</m:t>
        </m:r>
      </m:oMath>
      <w:r>
        <w:rPr>
          <w:rFonts w:eastAsiaTheme="minorEastAsia"/>
          <w:sz w:val="22"/>
          <w:szCs w:val="22"/>
        </w:rPr>
        <w:t xml:space="preserve"> den er ganske lik. 1.86e2 for kobber og 1.90e2 for Al. Det gir faktisk mer dose for Al en Cu. </w:t>
      </w:r>
    </w:p>
    <w:p w:rsidR="00CB53E9" w:rsidRPr="00745B0F" w:rsidRDefault="00CB53E9" w:rsidP="00EA2CB7">
      <w:pPr>
        <w:pStyle w:val="Default"/>
        <w:spacing w:after="5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Det man skulle tro var at ved 50 keV så er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τ∝k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hν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</m:sSup>
      </m:oMath>
      <w:r>
        <w:rPr>
          <w:rFonts w:eastAsiaTheme="minorEastAsia"/>
          <w:sz w:val="22"/>
          <w:szCs w:val="22"/>
        </w:rPr>
        <w:t xml:space="preserve"> for 3&lt;n&lt;4, 1&lt;m&lt;2</w:t>
      </w:r>
      <w:r w:rsidR="001B6B5F">
        <w:rPr>
          <w:rFonts w:eastAsiaTheme="minorEastAsia"/>
          <w:sz w:val="22"/>
          <w:szCs w:val="22"/>
        </w:rPr>
        <w:t xml:space="preserve"> og at dette ga høyere dose.</w:t>
      </w:r>
      <w:r>
        <w:rPr>
          <w:rFonts w:eastAsiaTheme="minorEastAsia"/>
          <w:sz w:val="22"/>
          <w:szCs w:val="22"/>
        </w:rPr>
        <w:t xml:space="preserve"> </w:t>
      </w:r>
    </w:p>
    <w:p w:rsidR="00D710F7" w:rsidRDefault="00D710F7" w:rsidP="00D710F7">
      <w:pPr>
        <w:pStyle w:val="Default"/>
        <w:numPr>
          <w:ilvl w:val="0"/>
          <w:numId w:val="1"/>
        </w:numPr>
        <w:spacing w:after="57"/>
        <w:rPr>
          <w:b/>
          <w:sz w:val="22"/>
          <w:szCs w:val="22"/>
          <w:lang w:val="en-US"/>
        </w:rPr>
      </w:pPr>
      <w:r w:rsidRPr="00D710F7">
        <w:rPr>
          <w:rFonts w:ascii="Arial" w:hAnsi="Arial" w:cs="Arial"/>
          <w:b/>
          <w:sz w:val="22"/>
          <w:szCs w:val="22"/>
          <w:lang w:val="en-US"/>
        </w:rPr>
        <w:t>•</w:t>
      </w:r>
      <w:r w:rsidRPr="00D710F7">
        <w:rPr>
          <w:b/>
          <w:sz w:val="22"/>
          <w:szCs w:val="22"/>
          <w:lang w:val="en-US"/>
        </w:rPr>
        <w:t xml:space="preserve">What is </w:t>
      </w:r>
      <w:r w:rsidRPr="00D710F7">
        <w:rPr>
          <w:b/>
          <w:i/>
          <w:iCs/>
          <w:sz w:val="22"/>
          <w:szCs w:val="22"/>
          <w:lang w:val="en-US"/>
        </w:rPr>
        <w:t>transient</w:t>
      </w:r>
      <w:r w:rsidR="00B45E33">
        <w:rPr>
          <w:b/>
          <w:i/>
          <w:iCs/>
          <w:sz w:val="22"/>
          <w:szCs w:val="22"/>
          <w:lang w:val="en-US"/>
        </w:rPr>
        <w:t xml:space="preserve"> </w:t>
      </w:r>
      <w:r w:rsidRPr="00D710F7">
        <w:rPr>
          <w:b/>
          <w:sz w:val="22"/>
          <w:szCs w:val="22"/>
          <w:lang w:val="en-US"/>
        </w:rPr>
        <w:t>charged particle equilibrium? Contrast with charged particle equilibrium</w:t>
      </w:r>
    </w:p>
    <w:p w:rsidR="00DC685B" w:rsidRDefault="003464A2" w:rsidP="00DC685B">
      <w:pPr>
        <w:pStyle w:val="Default"/>
        <w:spacing w:after="57"/>
        <w:rPr>
          <w:rFonts w:eastAsiaTheme="minorEastAsia"/>
          <w:sz w:val="22"/>
          <w:szCs w:val="22"/>
        </w:rPr>
      </w:pPr>
      <w:r w:rsidRPr="003464A2">
        <w:rPr>
          <w:sz w:val="22"/>
          <w:szCs w:val="22"/>
        </w:rPr>
        <w:t xml:space="preserve">TCPE finnes I alle punkter I en region hvor D er proporsjonal med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>, the er en konstant proporsjonalitet.</w:t>
      </w:r>
      <w:r w:rsidR="00FC2AAC">
        <w:rPr>
          <w:rFonts w:eastAsiaTheme="minorEastAsia"/>
          <w:sz w:val="22"/>
          <w:szCs w:val="22"/>
        </w:rPr>
        <w:t xml:space="preserve"> Dvs. når buildupen er ferdig i en hvis dybde.</w:t>
      </w:r>
    </w:p>
    <w:p w:rsidR="00FC2AAC" w:rsidRDefault="00FC2AAC" w:rsidP="00DC685B">
      <w:pPr>
        <w:pStyle w:val="Default"/>
        <w:spacing w:after="57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For TCPE er formelen</w:t>
      </w:r>
    </w:p>
    <w:p w:rsidR="00FC2AAC" w:rsidRPr="003A08A9" w:rsidRDefault="00FC2AAC" w:rsidP="00FC2AAC">
      <w:pPr>
        <w:pStyle w:val="Default"/>
        <w:spacing w:after="57"/>
        <w:ind w:left="708" w:firstLine="708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CPE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</m:e>
            </m:mr>
          </m:m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μ'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acc>
            </m:sup>
          </m:sSup>
        </m:oMath>
      </m:oMathPara>
    </w:p>
    <w:p w:rsidR="003A08A9" w:rsidRPr="00FC2AAC" w:rsidRDefault="003A08A9" w:rsidP="003A08A9">
      <w:pPr>
        <w:pStyle w:val="Default"/>
        <w:spacing w:after="57"/>
        <w:rPr>
          <w:sz w:val="22"/>
          <w:szCs w:val="22"/>
        </w:rPr>
      </w:pPr>
      <w:r>
        <w:rPr>
          <w:noProof/>
          <w:lang w:eastAsia="nb-NO"/>
        </w:rPr>
        <w:drawing>
          <wp:inline distT="0" distB="0" distL="0" distR="0" wp14:anchorId="550B1E95" wp14:editId="1A5E1980">
            <wp:extent cx="5019675" cy="1758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531" cy="17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F7" w:rsidRPr="00D710F7" w:rsidRDefault="00D710F7" w:rsidP="00D710F7">
      <w:pPr>
        <w:pStyle w:val="Default"/>
        <w:numPr>
          <w:ilvl w:val="0"/>
          <w:numId w:val="1"/>
        </w:numPr>
        <w:rPr>
          <w:b/>
          <w:sz w:val="22"/>
          <w:szCs w:val="22"/>
          <w:lang w:val="en-US"/>
        </w:rPr>
      </w:pPr>
      <w:r w:rsidRPr="00D710F7">
        <w:rPr>
          <w:b/>
          <w:sz w:val="22"/>
          <w:szCs w:val="22"/>
          <w:lang w:val="en-US"/>
        </w:rPr>
        <w:t>Discuss</w:t>
      </w:r>
      <w:r w:rsidR="00BA46A3">
        <w:rPr>
          <w:b/>
          <w:sz w:val="22"/>
          <w:szCs w:val="22"/>
          <w:lang w:val="en-US"/>
        </w:rPr>
        <w:t xml:space="preserve"> </w:t>
      </w:r>
      <w:r w:rsidRPr="00D710F7">
        <w:rPr>
          <w:b/>
          <w:sz w:val="22"/>
          <w:szCs w:val="22"/>
          <w:lang w:val="en-US"/>
        </w:rPr>
        <w:t>why</w:t>
      </w:r>
      <w:r w:rsidR="00BA46A3">
        <w:rPr>
          <w:b/>
          <w:sz w:val="22"/>
          <w:szCs w:val="22"/>
          <w:lang w:val="en-US"/>
        </w:rPr>
        <w:t xml:space="preserve"> </w:t>
      </w:r>
      <w:r w:rsidRPr="00D710F7">
        <w:rPr>
          <w:b/>
          <w:sz w:val="22"/>
          <w:szCs w:val="22"/>
          <w:lang w:val="en-US"/>
        </w:rPr>
        <w:t>total stopping power for electrons does not provide accurate estimates of energy deposition</w:t>
      </w:r>
    </w:p>
    <w:p w:rsidR="000440DF" w:rsidRPr="00E3654A" w:rsidRDefault="00E3654A">
      <w:r w:rsidRPr="00E3654A">
        <w:t xml:space="preserve">Dette er fordi stopping power er vanskelig å definer for eleketroner. </w:t>
      </w:r>
      <w:r>
        <w:t>Det er pga. Straggeling, en variasjon i energi avgivning og multiple scattering som gjør at spektrumet av energiavgivninger er veldig stokastisk. Det kan muligens finnes en midlere stopping power.</w:t>
      </w:r>
      <w:r w:rsidR="004B557B">
        <w:t xml:space="preserve"> Stopping power er rett og slett </w:t>
      </w:r>
      <w:r w:rsidR="002F421B">
        <w:t>ikke konstant ved tykke target.</w:t>
      </w:r>
      <w:bookmarkStart w:id="0" w:name="_GoBack"/>
      <w:bookmarkEnd w:id="0"/>
    </w:p>
    <w:sectPr w:rsidR="000440DF" w:rsidRPr="00E3654A" w:rsidSect="008C76D4">
      <w:pgSz w:w="19200" w:h="113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D93"/>
    <w:multiLevelType w:val="hybridMultilevel"/>
    <w:tmpl w:val="1FF8BC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F7"/>
    <w:rsid w:val="001B6B5F"/>
    <w:rsid w:val="002B3735"/>
    <w:rsid w:val="002F421B"/>
    <w:rsid w:val="003464A2"/>
    <w:rsid w:val="003A08A9"/>
    <w:rsid w:val="004B557B"/>
    <w:rsid w:val="00745B0F"/>
    <w:rsid w:val="00B45E33"/>
    <w:rsid w:val="00BA46A3"/>
    <w:rsid w:val="00C532A2"/>
    <w:rsid w:val="00CB53E9"/>
    <w:rsid w:val="00CF025F"/>
    <w:rsid w:val="00D710F7"/>
    <w:rsid w:val="00DC685B"/>
    <w:rsid w:val="00E3654A"/>
    <w:rsid w:val="00EA2CB7"/>
    <w:rsid w:val="00EE26A4"/>
    <w:rsid w:val="00F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3E4B"/>
  <w15:chartTrackingRefBased/>
  <w15:docId w15:val="{31A2B24C-DF96-4011-BDC0-F671DA38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10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5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8839559D</Template>
  <TotalTime>116</TotalTime>
  <Pages>1</Pages>
  <Words>270</Words>
  <Characters>1434</Characters>
  <Application>Microsoft Office Word</Application>
  <DocSecurity>0</DocSecurity>
  <Lines>11</Lines>
  <Paragraphs>3</Paragraphs>
  <ScaleCrop>false</ScaleCrop>
  <Company>Universitetet i Oslo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16</cp:revision>
  <dcterms:created xsi:type="dcterms:W3CDTF">2018-12-04T19:08:00Z</dcterms:created>
  <dcterms:modified xsi:type="dcterms:W3CDTF">2018-12-04T21:04:00Z</dcterms:modified>
</cp:coreProperties>
</file>