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Pr="004A06B9" w:rsidRDefault="004A06B9">
      <w:pPr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 xml:space="preserve">FYS4720 </w:t>
      </w:r>
      <w:r>
        <w:rPr>
          <w:b/>
          <w:sz w:val="40"/>
          <w:szCs w:val="40"/>
        </w:rPr>
        <w:t xml:space="preserve">- </w:t>
      </w:r>
      <w:r w:rsidRPr="004A06B9">
        <w:rPr>
          <w:b/>
          <w:sz w:val="40"/>
          <w:szCs w:val="40"/>
        </w:rPr>
        <w:t>L</w:t>
      </w:r>
      <w:r w:rsidRPr="004A06B9">
        <w:rPr>
          <w:b/>
          <w:sz w:val="40"/>
          <w:szCs w:val="40"/>
        </w:rPr>
        <w:t xml:space="preserve">ab rapport </w:t>
      </w:r>
    </w:p>
    <w:p w:rsidR="004A06B9" w:rsidRDefault="004A06B9">
      <w:pPr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>Av Jonas Asperud</w:t>
      </w:r>
    </w:p>
    <w:p w:rsidR="004A06B9" w:rsidRDefault="004A06B9">
      <w:pPr>
        <w:rPr>
          <w:b/>
          <w:sz w:val="40"/>
          <w:szCs w:val="40"/>
        </w:rPr>
      </w:pPr>
    </w:p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4A06B9" w:rsidRPr="00531D85">
        <w:rPr>
          <w:b/>
          <w:sz w:val="28"/>
          <w:szCs w:val="28"/>
        </w:rPr>
        <w:t>Introduksjon</w:t>
      </w:r>
    </w:p>
    <w:p w:rsidR="004A06B9" w:rsidRDefault="004A06B9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96592" w:rsidRPr="00531D85">
        <w:rPr>
          <w:b/>
          <w:sz w:val="28"/>
          <w:szCs w:val="28"/>
        </w:rPr>
        <w:t>Teori</w:t>
      </w:r>
    </w:p>
    <w:p w:rsidR="003E5221" w:rsidRPr="00CC32A1" w:rsidRDefault="00CC32A1">
      <w:pPr>
        <w:rPr>
          <w:rFonts w:eastAsiaTheme="minorEastAsia"/>
          <w:b/>
        </w:rPr>
      </w:pPr>
      <w:r>
        <w:rPr>
          <w:rFonts w:eastAsiaTheme="minorEastAsia"/>
          <w:b/>
        </w:rPr>
        <w:t>Bestråling</w:t>
      </w:r>
    </w:p>
    <w:p w:rsidR="00531D85" w:rsidRPr="00CC32A1" w:rsidRDefault="00CC32A1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531D85" w:rsidRPr="00CC32A1">
        <w:rPr>
          <w:rFonts w:eastAsiaTheme="minorEastAsia"/>
          <w:b/>
        </w:rPr>
        <w:t>-actin</w:t>
      </w:r>
    </w:p>
    <w:p w:rsidR="00523A1E" w:rsidRPr="00CC32A1" w:rsidRDefault="00523A1E">
      <w:pPr>
        <w:rPr>
          <w:b/>
        </w:rPr>
      </w:pPr>
      <w:r w:rsidRPr="00CC32A1">
        <w:rPr>
          <w:rFonts w:eastAsiaTheme="minorEastAsia"/>
          <w:b/>
        </w:rPr>
        <w:t>Trådbrudd</w:t>
      </w:r>
      <w:r w:rsidR="00EE6548">
        <w:rPr>
          <w:rFonts w:eastAsiaTheme="minorEastAsia"/>
          <w:b/>
        </w:rPr>
        <w:t xml:space="preserve"> &amp; ATM</w:t>
      </w:r>
      <w:bookmarkStart w:id="0" w:name="_GoBack"/>
      <w:bookmarkEnd w:id="0"/>
    </w:p>
    <w:p w:rsidR="003E5221" w:rsidRPr="00CC32A1" w:rsidRDefault="00531D85">
      <w:pPr>
        <w:rPr>
          <w:b/>
        </w:rPr>
      </w:pPr>
      <w:r w:rsidRPr="00CC32A1">
        <w:rPr>
          <w:b/>
        </w:rPr>
        <w:t xml:space="preserve">p53 </w:t>
      </w:r>
    </w:p>
    <w:p w:rsidR="00531D85" w:rsidRDefault="00531D85"/>
    <w:p w:rsidR="004A06B9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A06B9" w:rsidRPr="00531D85">
        <w:rPr>
          <w:b/>
          <w:sz w:val="28"/>
          <w:szCs w:val="28"/>
        </w:rPr>
        <w:t>Metode</w:t>
      </w:r>
    </w:p>
    <w:p w:rsidR="00B41797" w:rsidRPr="00B41797" w:rsidRDefault="00B41797">
      <w:r>
        <w:t>Eksperimentet er del opp i to undereksperimenter, hvor metodene er litt forskjellige. Prepareringen for analyseringen var lik og har en egen seksjon.</w:t>
      </w:r>
    </w:p>
    <w:p w:rsidR="004A06B9" w:rsidRDefault="00702582">
      <w:pPr>
        <w:rPr>
          <w:b/>
          <w:i/>
        </w:rPr>
      </w:pPr>
      <w:r w:rsidRPr="00702582">
        <w:rPr>
          <w:b/>
          <w:i/>
        </w:rPr>
        <w:t>Eksperiment 1</w:t>
      </w:r>
    </w:p>
    <w:p w:rsidR="00702582" w:rsidRPr="00702582" w:rsidRDefault="00702582"/>
    <w:p w:rsidR="00702582" w:rsidRDefault="00702582" w:rsidP="00702582">
      <w:pPr>
        <w:rPr>
          <w:b/>
          <w:i/>
        </w:rPr>
      </w:pPr>
      <w:r>
        <w:rPr>
          <w:b/>
          <w:i/>
        </w:rPr>
        <w:t>Eksperiment 2</w:t>
      </w:r>
    </w:p>
    <w:p w:rsidR="00B41797" w:rsidRDefault="00B41797" w:rsidP="00702582">
      <w:pPr>
        <w:rPr>
          <w:b/>
          <w:i/>
        </w:rPr>
      </w:pPr>
    </w:p>
    <w:p w:rsidR="00B41797" w:rsidRDefault="00830A95" w:rsidP="00B41797">
      <w:pPr>
        <w:rPr>
          <w:b/>
          <w:i/>
        </w:rPr>
      </w:pPr>
      <w:r>
        <w:rPr>
          <w:b/>
          <w:i/>
        </w:rPr>
        <w:t>Forbereding</w:t>
      </w:r>
      <w:r w:rsidR="00B41797">
        <w:rPr>
          <w:b/>
          <w:i/>
        </w:rPr>
        <w:t xml:space="preserve"> </w:t>
      </w:r>
      <w:r>
        <w:rPr>
          <w:b/>
          <w:i/>
        </w:rPr>
        <w:t>til</w:t>
      </w:r>
      <w:r w:rsidR="00B41797">
        <w:rPr>
          <w:b/>
          <w:i/>
        </w:rPr>
        <w:t xml:space="preserve"> chemiluminescence</w:t>
      </w:r>
      <w:r w:rsidR="00557E74">
        <w:rPr>
          <w:b/>
          <w:i/>
        </w:rPr>
        <w:t xml:space="preserve"> deteksjon</w:t>
      </w:r>
    </w:p>
    <w:p w:rsidR="00B41797" w:rsidRDefault="00B41797" w:rsidP="00702582">
      <w:pPr>
        <w:rPr>
          <w:b/>
          <w:i/>
        </w:rPr>
      </w:pPr>
    </w:p>
    <w:p w:rsidR="004A06B9" w:rsidRDefault="004A06B9"/>
    <w:p w:rsidR="003213B1" w:rsidRPr="009B60B3" w:rsidRDefault="009B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4A06B9" w:rsidRPr="009B60B3">
        <w:rPr>
          <w:b/>
          <w:sz w:val="28"/>
          <w:szCs w:val="28"/>
        </w:rPr>
        <w:t>Resultat</w:t>
      </w:r>
    </w:p>
    <w:p w:rsidR="003213B1" w:rsidRDefault="004910D8" w:rsidP="007977DC">
      <w:r>
        <w:t>Siden resultatene fra prøvene i år ikke er så</w:t>
      </w:r>
      <w:r>
        <w:t xml:space="preserve"> lette å tolke, velger jeg å analysere prøvene som ble gjort i fjor, 2017.</w:t>
      </w:r>
      <w:r w:rsidR="0048254B">
        <w:t xml:space="preserve"> Til venstre</w:t>
      </w:r>
      <w:r w:rsidR="005B2492">
        <w:t xml:space="preserve"> i figur 1</w:t>
      </w:r>
      <w:r w:rsidR="0048254B">
        <w:t xml:space="preserve"> er bildet som ble tatt a</w:t>
      </w:r>
      <w:r w:rsidR="006557AA">
        <w:t xml:space="preserve">v chemiluminecsence detektoren, med relative størrelser </w:t>
      </w:r>
      <w:r w:rsidR="005B2492">
        <w:t>som</w:t>
      </w:r>
      <w:r w:rsidR="006557AA">
        <w:t xml:space="preserve"> intensiteten.</w:t>
      </w:r>
      <w:r w:rsidR="00536798">
        <w:t xml:space="preserve"> Øverst i bildet er </w:t>
      </w:r>
      <m:oMath>
        <m:r>
          <w:rPr>
            <w:rFonts w:ascii="Cambria Math" w:hAnsi="Cambria Math"/>
          </w:rPr>
          <m:t>β</m:t>
        </m:r>
      </m:oMath>
      <w:r w:rsidR="00536798">
        <w:rPr>
          <w:rFonts w:eastAsiaTheme="minorEastAsia"/>
        </w:rPr>
        <w:t>-actin, hvor kontroll prøven er til venstre. Fra venstre til høyre øker dosen gitt til cellene som går fra 0 Gy til 2.5 Gy med 0.5 Gy intervaller.</w:t>
      </w:r>
      <w:r w:rsidR="00BE5474">
        <w:rPr>
          <w:rFonts w:eastAsiaTheme="minorEastAsia"/>
        </w:rPr>
        <w:t xml:space="preserve"> Nederst er de korresponderende p53 prøvene i samme rekkefølge.</w:t>
      </w:r>
      <w:r w:rsidR="00536798">
        <w:rPr>
          <w:rFonts w:eastAsiaTheme="minorEastAsia"/>
        </w:rPr>
        <w:t xml:space="preserve"> </w:t>
      </w:r>
      <w:r w:rsidR="006557AA">
        <w:t xml:space="preserve"> </w:t>
      </w:r>
      <w:r w:rsidR="00536798">
        <w:t>Når bildet forstørres er det mulig å se hvor grensene for p53</w:t>
      </w:r>
      <w:r w:rsidR="00BB189F">
        <w:t xml:space="preserve"> kan </w:t>
      </w:r>
      <w:r w:rsidR="00E82B38">
        <w:t>ha vært</w:t>
      </w:r>
      <w:r w:rsidR="00BB189F">
        <w:t xml:space="preserve">, </w:t>
      </w:r>
      <w:r w:rsidR="00E82B38">
        <w:t>grensene settes hvor det er et mørkt skille</w:t>
      </w:r>
      <w:r w:rsidR="00BB189F">
        <w:t>.</w:t>
      </w:r>
      <w:r w:rsidR="005B2492">
        <w:t xml:space="preserve"> Bildet ble analysert i Python hvor den totale intensiteten innenfor </w:t>
      </w:r>
      <w:r w:rsidR="00AC5A06">
        <w:t>grensene nevnt, med en kontstant avgrensning i y-retning på bildet</w:t>
      </w:r>
      <w:r w:rsidR="004C5597">
        <w:t xml:space="preserve"> (</w:t>
      </w:r>
      <w:r w:rsidR="00E151BD">
        <w:t>50-100 p</w:t>
      </w:r>
      <w:r w:rsidR="004C5597">
        <w:t>x)</w:t>
      </w:r>
      <w:r w:rsidR="00561DFA">
        <w:t>.</w:t>
      </w:r>
      <w:r w:rsidR="007977DC">
        <w:t xml:space="preserve"> Til høyre, i figur 2 vises intensiteten fra hver celleprøve for en gitt dose.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er brukt som normalisering, dvs. at den relative dose intensiteten er delt på den relative</w:t>
      </w:r>
      <w:r w:rsidR="007977DC">
        <w:t xml:space="preserve">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</w:t>
      </w:r>
      <w:r w:rsidR="007977DC">
        <w:rPr>
          <w:rFonts w:eastAsiaTheme="minorEastAsia"/>
        </w:rPr>
        <w:t xml:space="preserve"> intensiteten.</w:t>
      </w:r>
      <w:r w:rsidR="00D12E50">
        <w:rPr>
          <w:rFonts w:eastAsiaTheme="minorEastAsia"/>
        </w:rPr>
        <w:t xml:space="preserve"> </w:t>
      </w:r>
    </w:p>
    <w:p w:rsidR="004910D8" w:rsidRDefault="004910D8"/>
    <w:p w:rsidR="003213B1" w:rsidRDefault="00AC5A06">
      <w:r>
        <w:rPr>
          <w:noProof/>
          <w:lang w:eastAsia="nb-NO"/>
        </w:rPr>
        <w:drawing>
          <wp:anchor distT="0" distB="0" distL="144145" distR="0" simplePos="0" relativeHeight="251659264" behindDoc="1" locked="0" layoutInCell="1" allowOverlap="1">
            <wp:simplePos x="0" y="0"/>
            <wp:positionH relativeFrom="column">
              <wp:posOffset>2829267</wp:posOffset>
            </wp:positionH>
            <wp:positionV relativeFrom="paragraph">
              <wp:posOffset>129002</wp:posOffset>
            </wp:positionV>
            <wp:extent cx="262953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38" y="2150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155575</wp:posOffset>
            </wp:positionV>
            <wp:extent cx="265493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388" y="21415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0D8">
        <w:t xml:space="preserve"> </w:t>
      </w:r>
    </w:p>
    <w:p w:rsidR="003213B1" w:rsidRDefault="003213B1"/>
    <w:p w:rsidR="004A06B9" w:rsidRDefault="004A06B9" w:rsidP="003213B1">
      <w:pPr>
        <w:jc w:val="both"/>
      </w:pPr>
    </w:p>
    <w:p w:rsidR="004A06B9" w:rsidRDefault="004A06B9"/>
    <w:p w:rsidR="003213B1" w:rsidRDefault="003213B1"/>
    <w:p w:rsidR="003213B1" w:rsidRDefault="003213B1"/>
    <w:p w:rsidR="003213B1" w:rsidRDefault="003213B1"/>
    <w:p w:rsidR="003213B1" w:rsidRDefault="00AC5A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666281" wp14:editId="49DDD4B1">
                <wp:simplePos x="0" y="0"/>
                <wp:positionH relativeFrom="column">
                  <wp:posOffset>2942590</wp:posOffset>
                </wp:positionH>
                <wp:positionV relativeFrom="paragraph">
                  <wp:posOffset>294982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0AA4" w:rsidRPr="00F97E52" w:rsidRDefault="00B70AA4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viser analysen av chemiluminescence deteksjonen. Plottet viser intensiteten ved en gitt dose som er normali</w:t>
                            </w:r>
                            <w:r w:rsidR="0053380C">
                              <w:t xml:space="preserve">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</w:t>
                            </w:r>
                            <w:r w:rsidR="0053380C">
                              <w:t>. Det er ikke</w:t>
                            </w:r>
                            <w:r w:rsidR="005949A3">
                              <w:t xml:space="preserve"> alltid</w:t>
                            </w:r>
                            <w:r w:rsidR="0053380C">
                              <w:t xml:space="preserve"> et 1 til 1 forhold av chemiluminescence</w:t>
                            </w:r>
                            <w:r w:rsidR="004435BF">
                              <w:t xml:space="preserve"> og antall p53</w:t>
                            </w:r>
                            <w:r w:rsidR="0053380C">
                              <w:t>, men intensiteten representerer antall</w:t>
                            </w:r>
                            <w:r w:rsidR="00BC3A0E">
                              <w:t>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662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1.7pt;margin-top:23.25pt;width:207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3cLAIAAGQEAAAOAAAAZHJzL2Uyb0RvYy54bWysVMFu2zAMvQ/YPwi6L07SLhiMOEWWIsOA&#10;oC2QDD0rshwbkESNUmJ3Xz9KttOt22nYRaZIitJ7j/TyrjOaXRT6BmzBZ5MpZ8pKKBt7Kvi3w/bD&#10;J858ELYUGqwq+Ivy/G71/t2ydbmaQw26VMioiPV56wpeh+DyLPOyVkb4CThlKVgBGhFoi6esRNFS&#10;daOz+XS6yFrA0iFI5T157/sgX6X6VaVkeKwqrwLTBae3hbRiWo9xzVZLkZ9QuLqRwzPEP7zCiMbS&#10;pddS9yIIdsbmj1KmkQgeqjCRYDKoqkaqhIHQzKZv0Oxr4VTCQuR4d6XJ/7+y8uHyhKwpC77gzApD&#10;Eh1UF9hn6NgistM6n1PS3lFa6MhNKo9+T84IuqvQxC/BYRQnnl+u3MZikpzzxc3s9pZCkmKLm4+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Ag30W54AAAAAkBAAAPAAAAZHJzL2Rvd25y&#10;ZXYueG1sTI8xT8MwEIV3JP6DdUgsiDrQkFZpnKqqYIClInTp5sZuHIjPke204d9zmcp2d+/p3feK&#10;9Wg7dtY+tA4FPM0SYBprp1psBOy/3h6XwEKUqGTnUAv41QHW5e1NIXPlLvipz1VsGIVgyKUAE2Of&#10;cx5qo60MM9drJO3kvJWRVt9w5eWFwm3Hn5Mk41a2SB+M7PXW6PqnGqyAXXrYmYfh9PqxSef+fT9s&#10;s++mEuL+btysgEU9xqsZJnxCh5KYjm5AFVgnIM3mKVmn4QUYGZaLBXU5TocMeFnw/w3KPwAAAP//&#10;AwBQSwECLQAUAAYACAAAACEAtoM4kv4AAADhAQAAEwAAAAAAAAAAAAAAAAAAAAAAW0NvbnRlbnRf&#10;VHlwZXNdLnhtbFBLAQItABQABgAIAAAAIQA4/SH/1gAAAJQBAAALAAAAAAAAAAAAAAAAAC8BAABf&#10;cmVscy8ucmVsc1BLAQItABQABgAIAAAAIQCsQy3cLAIAAGQEAAAOAAAAAAAAAAAAAAAAAC4CAABk&#10;cnMvZTJvRG9jLnhtbFBLAQItABQABgAIAAAAIQAg30W54AAAAAkBAAAPAAAAAAAAAAAAAAAAAIYE&#10;AABkcnMvZG93bnJldi54bWxQSwUGAAAAAAQABADzAAAAkwUAAAAA&#10;" stroked="f">
                <v:textbox style="mso-fit-shape-to-text:t" inset="0,0,0,0">
                  <w:txbxContent>
                    <w:p w:rsidR="00B70AA4" w:rsidRPr="00F97E52" w:rsidRDefault="00B70AA4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viser analysen av chemiluminescence deteksjonen. Plottet viser intensiteten ved en gitt dose som er normali</w:t>
                      </w:r>
                      <w:r w:rsidR="0053380C">
                        <w:t xml:space="preserve">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</w:t>
                      </w:r>
                      <w:r w:rsidR="0053380C">
                        <w:t>. Det er ikke</w:t>
                      </w:r>
                      <w:r w:rsidR="005949A3">
                        <w:t xml:space="preserve"> alltid</w:t>
                      </w:r>
                      <w:r w:rsidR="0053380C">
                        <w:t xml:space="preserve"> et 1 til 1 forhold av chemiluminescence</w:t>
                      </w:r>
                      <w:r w:rsidR="004435BF">
                        <w:t xml:space="preserve"> og antall p53</w:t>
                      </w:r>
                      <w:r w:rsidR="0053380C">
                        <w:t>, men intensiteten representerer antall</w:t>
                      </w:r>
                      <w:r w:rsidR="00BC3A0E">
                        <w:t>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061E" w:rsidRDefault="00AC5A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48A62" wp14:editId="2BDD8E38">
                <wp:simplePos x="0" y="0"/>
                <wp:positionH relativeFrom="margin">
                  <wp:align>left</wp:align>
                </wp:positionH>
                <wp:positionV relativeFrom="paragraph">
                  <wp:posOffset>5276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334F" w:rsidRPr="00A61818" w:rsidRDefault="0098334F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B70AA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viser chemiluminescence fra prøven</w:t>
                            </w:r>
                            <w:r w:rsidR="004A523D">
                              <w:t xml:space="preserve">, hvor det er gitt forskjellige doser til forskjellige </w:t>
                            </w:r>
                            <w:r w:rsidR="005949A3">
                              <w:t>celleprøver. Til venstre er kontroll</w:t>
                            </w:r>
                            <w:r w:rsidR="004A523D">
                              <w:t xml:space="preserve">prøven uten </w:t>
                            </w:r>
                            <w:r w:rsidR="005949A3">
                              <w:t xml:space="preserve">bestråling </w:t>
                            </w:r>
                            <w:r w:rsidR="004A523D">
                              <w:t xml:space="preserve">og </w:t>
                            </w:r>
                            <w:r w:rsidR="005949A3">
                              <w:t>mot høyre er det gitt en</w:t>
                            </w:r>
                            <w:r w:rsidR="004A523D">
                              <w:t xml:space="preserve"> stignde dose. Se tekst for mer </w:t>
                            </w:r>
                            <w:r w:rsidR="00FB22F7">
                              <w:t>informasjon</w:t>
                            </w:r>
                            <w:r>
                              <w:t>. Øverst</w:t>
                            </w:r>
                            <w:r w:rsidR="005949A3">
                              <w:t xml:space="preserve"> i bildet</w:t>
                            </w:r>
                            <w:r w:rsidR="0053380C">
                              <w:t xml:space="preserve">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FB4291">
                              <w:t>, hvor alle prøvene inkuberes i 2 timer.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8A62" id="Text Box 5" o:spid="_x0000_s1027" type="#_x0000_t202" style="position:absolute;margin-left:0;margin-top:.4pt;width:200.65pt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+NLQIAAF0EAAAOAAAAZHJzL2Uyb0RvYy54bWysVMFu2zAMvQ/YPwi6L06ypSiMOEWWIsOA&#10;oC2QDD0rshwLkEWNUmJ3Xz9KttOt22nYRaZIitR7j/LyrmsMuyj0GmzBZ5MpZ8pKKLU9FfzbYfvh&#10;ljMfhC2FAasK/qI8v1u9f7dsXa7mUIMpFTIqYn3euoLXIbg8y7ysVSP8BJyyFKwAGxFoi6esRNFS&#10;9cZk8+n0JmsBS4cglffkve+DfJXqV5WS4bGqvArMFJzuFtKKaT3GNVstRX5C4Woth2uIf7hFI7Sl&#10;ptdS9yIIdkb9R6lGSwQPVZhIaDKoKi1VwkBoZtM3aPa1cCphIXK8u9Lk/19Z+XB5QqbLgi84s6Ih&#10;iQ6qC+wzdGwR2Wmdzylp7ygtdOQmlUe/J2cE3VXYxC/BYRQnnl+u3MZikpzzxafb+YKaSIrdfEy1&#10;s9ejDn34oqBh0Sg4knCJT3HZ+UDXoNQxJXbyYHS51cbETQxsDLKLIJHbWgcVL0gnfssyNuZaiKf6&#10;cPRkEV+PI1qhO3YD6COUL4QZoZ8Z7+RWU6Od8OFJIA0JwaTBD4+0VAbagsNgcVYD/vibP+aTdhTl&#10;rKWhK7j/fhaoODNfLakaJ3Q0cDSOo2HPzQYI4oyelJPJpAMYzGhWCM0zvYd17EIhYSX1KngYzU3o&#10;R5/ek1TrdUqiOXQi7OzeyVh6JPTQPQt0gxyBVHyAcRxF/kaVPjfp4tbnQBQnySKhPYsDzzTDSZfh&#10;vcVH8us+Zb3+FVY/AQAA//8DAFBLAwQUAAYACAAAACEA6kSuC9sAAAACAQAADwAAAGRycy9kb3du&#10;cmV2LnhtbEzPwU7DMAwG4DsS7xAZiQva0rFqglJ3miY4wGWi7LJb1nhNoUmqJN3K22NOcLR+6/fn&#10;cj3ZXpwpxM47hMU8A0Gu8bpzLcL+42X2ACIm5bTqvSOEb4qwrq6vSlVof3HvdK5TK7jExUIhmJSG&#10;QsrYGLIqzv1AjrOTD1YlHkMrdVAXLre9vM+ylbSqc3zBqIG2hpqverQIu/ywM3fj6fltky/D637c&#10;rj7bGvH2Zto8gUg0pb9l+OUzHSo2Hf3odBQ9Aj+SEFjPWZ4tliCOCI8gq1L+p1c/AAAA//8DAFBL&#10;AQItABQABgAIAAAAIQC2gziS/gAAAOEBAAATAAAAAAAAAAAAAAAAAAAAAABbQ29udGVudF9UeXBl&#10;c10ueG1sUEsBAi0AFAAGAAgAAAAhADj9If/WAAAAlAEAAAsAAAAAAAAAAAAAAAAALwEAAF9yZWxz&#10;Ly5yZWxzUEsBAi0AFAAGAAgAAAAhAFtlj40tAgAAXQQAAA4AAAAAAAAAAAAAAAAALgIAAGRycy9l&#10;Mm9Eb2MueG1sUEsBAi0AFAAGAAgAAAAhAOpErgvbAAAAAgEAAA8AAAAAAAAAAAAAAAAAhwQAAGRy&#10;cy9kb3ducmV2LnhtbFBLBQYAAAAABAAEAPMAAACPBQAAAAA=&#10;" stroked="f">
                <v:textbox style="mso-fit-shape-to-text:t" inset="0,0,0,0">
                  <w:txbxContent>
                    <w:p w:rsidR="0098334F" w:rsidRPr="00A61818" w:rsidRDefault="0098334F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B70AA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viser chemiluminescence fra prøven</w:t>
                      </w:r>
                      <w:r w:rsidR="004A523D">
                        <w:t xml:space="preserve">, hvor det er gitt forskjellige doser til forskjellige </w:t>
                      </w:r>
                      <w:r w:rsidR="005949A3">
                        <w:t>celleprøver. Til venstre er kontroll</w:t>
                      </w:r>
                      <w:r w:rsidR="004A523D">
                        <w:t xml:space="preserve">prøven uten </w:t>
                      </w:r>
                      <w:r w:rsidR="005949A3">
                        <w:t xml:space="preserve">bestråling </w:t>
                      </w:r>
                      <w:r w:rsidR="004A523D">
                        <w:t xml:space="preserve">og </w:t>
                      </w:r>
                      <w:r w:rsidR="005949A3">
                        <w:t>mot høyre er det gitt en</w:t>
                      </w:r>
                      <w:r w:rsidR="004A523D">
                        <w:t xml:space="preserve"> stignde dose. Se tekst for mer </w:t>
                      </w:r>
                      <w:r w:rsidR="00FB22F7">
                        <w:t>informasjon</w:t>
                      </w:r>
                      <w:r>
                        <w:t>. Øverst</w:t>
                      </w:r>
                      <w:r w:rsidR="005949A3">
                        <w:t xml:space="preserve"> i bildet</w:t>
                      </w:r>
                      <w:r w:rsidR="0053380C">
                        <w:t xml:space="preserve">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FB4291">
                        <w:t>, hvor alle prøvene inkuberes i 2 timer.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7061E" w:rsidRDefault="004F0EA6">
      <w:r>
        <w:t>I tabell 1</w:t>
      </w:r>
      <w:r w:rsidR="00C96592">
        <w:t xml:space="preserve"> nedenfor er de relative</w:t>
      </w:r>
      <w:r w:rsidR="00A339AA">
        <w:t xml:space="preserve"> intensitetene</w:t>
      </w:r>
      <w:r w:rsidR="00C96592">
        <w:t xml:space="preserve"> </w:t>
      </w:r>
      <w:r w:rsidR="00A32DD7">
        <w:t xml:space="preserve">til både p53 og </w:t>
      </w:r>
      <m:oMath>
        <m:r>
          <w:rPr>
            <w:rFonts w:ascii="Cambria Math" w:hAnsi="Cambria Math"/>
          </w:rPr>
          <m:t>β</m:t>
        </m:r>
      </m:oMath>
      <w:r w:rsidR="00A32DD7">
        <w:rPr>
          <w:rFonts w:eastAsiaTheme="minorEastAsia"/>
        </w:rPr>
        <w:t>-actin listet, f</w:t>
      </w:r>
      <w:r w:rsidR="00EC7D55">
        <w:rPr>
          <w:rFonts w:eastAsiaTheme="minorEastAsia"/>
        </w:rPr>
        <w:t>or de forskjellige stråledosene gitt til celleprøvene.</w:t>
      </w:r>
    </w:p>
    <w:p w:rsidR="00A32DD7" w:rsidRDefault="00A32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96592" w:rsidTr="00C9659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96592" w:rsidRDefault="00C96592" w:rsidP="00C9659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 Gy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2.5 Gy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C96592" w:rsidP="00C9659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0.82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0.72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0.78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0.98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A32DD7" w:rsidP="00C96592">
            <w:pPr>
              <w:jc w:val="center"/>
            </w:pPr>
            <w:r>
              <w:t>p</w:t>
            </w:r>
            <w:r w:rsidR="00C96592">
              <w:t>53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0.69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C96592" w:rsidRDefault="00C96592" w:rsidP="00A339AA">
            <w:pPr>
              <w:keepNext/>
              <w:jc w:val="center"/>
            </w:pPr>
            <w:r>
              <w:t>0.86</w:t>
            </w:r>
          </w:p>
        </w:tc>
      </w:tr>
    </w:tbl>
    <w:p w:rsidR="00A339AA" w:rsidRDefault="00A339AA" w:rsidP="00A339AA">
      <w:pPr>
        <w:pStyle w:val="Caption"/>
      </w:pPr>
    </w:p>
    <w:p w:rsidR="00C96592" w:rsidRDefault="00A339AA" w:rsidP="00A339AA">
      <w:pPr>
        <w:pStyle w:val="Caption"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571E36">
        <w:rPr>
          <w:noProof/>
        </w:rPr>
        <w:t>1</w:t>
      </w:r>
      <w:r>
        <w:fldChar w:fldCharType="end"/>
      </w:r>
      <w:r>
        <w:t xml:space="preserve"> viser de relative </w:t>
      </w:r>
      <w:r w:rsidR="00571E36">
        <w:t>intensitetene</w:t>
      </w:r>
      <w:r>
        <w:t xml:space="preserve">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stråledosene gitt til celleprøvene.</w:t>
      </w:r>
    </w:p>
    <w:p w:rsidR="00505436" w:rsidRDefault="00505436"/>
    <w:p w:rsidR="00E44C7A" w:rsidRDefault="00E44C7A"/>
    <w:p w:rsidR="00523BA7" w:rsidRDefault="00505436" w:rsidP="00523BA7">
      <w:r>
        <w:t>I eksperiment nummer to ble hver celleprøve bestrålt med 2 Gy røntgenstråling. Det ble gitt forskjellig inkuberingstid, hvor kontrollprøven ble ikke bestrålt.</w:t>
      </w:r>
      <w:r w:rsidR="00393F87">
        <w:t xml:space="preserve"> </w:t>
      </w:r>
      <w:r w:rsidR="005056AB">
        <w:t>Prøvene</w:t>
      </w:r>
      <w:r w:rsidR="00393F87">
        <w:t xml:space="preserve"> fikk inkubere fra 0.5 til 2.5 timer med 0.5 timers intervaller.</w:t>
      </w:r>
      <w:r w:rsidR="00A339AA">
        <w:t xml:space="preserve"> Fra venstre til høyre i bildet i figur 3</w:t>
      </w:r>
      <w:r w:rsidR="005056AB">
        <w:t xml:space="preserve"> vises kontroll prøven først deretter med stigende inkuberingstid. Øverst i bildet er </w:t>
      </w:r>
      <m:oMath>
        <m:r>
          <w:rPr>
            <w:rFonts w:ascii="Cambria Math" w:hAnsi="Cambria Math"/>
          </w:rPr>
          <m:t>β</m:t>
        </m:r>
      </m:oMath>
      <w:r w:rsidR="005056AB">
        <w:rPr>
          <w:rFonts w:eastAsiaTheme="minorEastAsia"/>
        </w:rPr>
        <w:t>-actin og n</w:t>
      </w:r>
      <w:r w:rsidR="005056AB">
        <w:rPr>
          <w:rFonts w:eastAsiaTheme="minorEastAsia"/>
        </w:rPr>
        <w:t xml:space="preserve">ederst er de korresponderende p53 prøvene i samme rekkefølge. </w:t>
      </w:r>
      <w:r w:rsidR="005056AB">
        <w:t xml:space="preserve"> </w:t>
      </w:r>
      <w:r w:rsidR="00523BA7">
        <w:t>Til høyre,</w:t>
      </w:r>
      <w:r w:rsidR="00523BA7">
        <w:t xml:space="preserve"> i figur 4</w:t>
      </w:r>
      <w:r w:rsidR="00523BA7">
        <w:t xml:space="preserve"> vises intensiteten fra hver celleprøve for en gitt </w:t>
      </w:r>
      <w:r w:rsidR="00523BA7">
        <w:t>inkuberingstid</w:t>
      </w:r>
      <w:r w:rsidR="00523BA7">
        <w:t xml:space="preserve">.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>-actin er brukt som normalisering, dvs. at den relative dose intensiteten er delt på den relative</w:t>
      </w:r>
      <w:r w:rsidR="00523BA7">
        <w:t xml:space="preserve">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 xml:space="preserve">-actin intensiteten. </w:t>
      </w:r>
    </w:p>
    <w:p w:rsidR="0087061E" w:rsidRDefault="0087061E"/>
    <w:p w:rsidR="00B70AA4" w:rsidRDefault="00B70AA4"/>
    <w:p w:rsidR="00FE4432" w:rsidRDefault="00FE4432"/>
    <w:p w:rsidR="00E44C7A" w:rsidRDefault="00E44C7A"/>
    <w:p w:rsidR="00E44C7A" w:rsidRDefault="00E44C7A"/>
    <w:p w:rsidR="00E44C7A" w:rsidRDefault="00E44C7A"/>
    <w:p w:rsidR="00E44C7A" w:rsidRDefault="00E44C7A"/>
    <w:p w:rsidR="00E44C7A" w:rsidRDefault="00E44C7A"/>
    <w:p w:rsidR="00E44C7A" w:rsidRDefault="00E44C7A">
      <w:r w:rsidRPr="00E44C7A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EDD139" wp14:editId="40805C7C">
                <wp:simplePos x="0" y="0"/>
                <wp:positionH relativeFrom="margin">
                  <wp:posOffset>0</wp:posOffset>
                </wp:positionH>
                <wp:positionV relativeFrom="paragraph">
                  <wp:posOffset>2447290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A61818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t>3</w:t>
                            </w:r>
                            <w:r>
                              <w:t xml:space="preserve"> viser chemiluminescence fra prøven, hvor </w:t>
                            </w:r>
                            <w:r>
                              <w:t>celleprøvene ble bestrålt med 2 Gy røntgenstråler, men med forskjellig inkuberingstid</w:t>
                            </w:r>
                            <w:r>
                              <w:t xml:space="preserve">. Til venstre er kontrollprøven uten bestråling og </w:t>
                            </w:r>
                            <w:r>
                              <w:t>mot høyre er det stigende inkuberingstid</w:t>
                            </w:r>
                            <w:r>
                              <w:t xml:space="preserve">. Se tekst for mer informasjon. Øverst i bildet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27216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D139" id="Text Box 16" o:spid="_x0000_s1028" type="#_x0000_t202" style="position:absolute;margin-left:0;margin-top:192.7pt;width:200.6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pvLwIAAGYEAAAOAAAAZHJzL2Uyb0RvYy54bWysVMFu2zAMvQ/YPwi6L07SpS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1uObOi&#10;Jo32qg3sC7SMXMRP4/yc0naOEkNLfsod/J6cEXZbYh2/BIhRnJi+XNmN1SQ5p7PPd9PZjDNJsdub&#10;WayRvR516MNXBTWLRs6RpEuMivPWhy51SIk3eTC62Ghj4iYG1gbZWZDMTaWD6ov/lmVszLUQT3UF&#10;oyeL+Doc0QrtoU183AwYD1BcCDpC1zzeyY2m+7bCh2eB1C2EliYgPNFSGmhyDr3FWQX482/+mE8i&#10;UpSzhrov5/7HSaDizHyzJG9s1cHAwTgMhj3VayCkE5otJ5NJBzCYwSwR6hcajFW8hULCSror52Ew&#10;16GbARosqVarlEQN6UTY2p2TsfTA6759Eeh6VQKJ+QhDX4r5O3G63CSPW50CMZ2Ui7x2LPZ0UzMn&#10;7fvBi9Pydp+yXn8Py18AAAD//wMAUEsDBBQABgAIAAAAIQByIqcm3wAAAAgBAAAPAAAAZHJzL2Rv&#10;d25yZXYueG1sTI/BbsIwEETvlfgHayv1UhWHJiCUxkEI0UN7QQQuvZl4idPG68h2IP37ur2U4+ys&#10;Zt4Uq9F07ILOt5YEzKYJMKTaqpYaAcfD69MSmA+SlOwsoYBv9LAqJ3eFzJW90h4vVWhYDCGfSwE6&#10;hD7n3NcajfRT2yNF72ydkSFK13Dl5DWGm44/J8mCG9lSbNCyx43G+qsajIBd9rHTj8N5+77OUvd2&#10;HDaLz6YS4uF+XL8ACziG/2f4xY/oUEamkx1IedYJiEOCgHQ5z4BFO0tmKbDT32UOvCz47YDyBwAA&#10;//8DAFBLAQItABQABgAIAAAAIQC2gziS/gAAAOEBAAATAAAAAAAAAAAAAAAAAAAAAABbQ29udGVu&#10;dF9UeXBlc10ueG1sUEsBAi0AFAAGAAgAAAAhADj9If/WAAAAlAEAAAsAAAAAAAAAAAAAAAAALwEA&#10;AF9yZWxzLy5yZWxzUEsBAi0AFAAGAAgAAAAhAMUDqm8vAgAAZgQAAA4AAAAAAAAAAAAAAAAALgIA&#10;AGRycy9lMm9Eb2MueG1sUEsBAi0AFAAGAAgAAAAhAHIipybfAAAACAEAAA8AAAAAAAAAAAAAAAAA&#10;iQQAAGRycy9kb3ducmV2LnhtbFBLBQYAAAAABAAEAPMAAACVBQAAAAA=&#10;" stroked="f">
                <v:textbox style="mso-fit-shape-to-text:t" inset="0,0,0,0">
                  <w:txbxContent>
                    <w:p w:rsidR="00E44C7A" w:rsidRPr="00A61818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t>3</w:t>
                      </w:r>
                      <w:r>
                        <w:t xml:space="preserve"> viser chemiluminescence fra prøven, hvor </w:t>
                      </w:r>
                      <w:r>
                        <w:t>celleprøvene ble bestrålt med 2 Gy røntgenstråler, men med forskjellig inkuberingstid</w:t>
                      </w:r>
                      <w:r>
                        <w:t xml:space="preserve">. Til venstre er kontrollprøven uten bestråling og </w:t>
                      </w:r>
                      <w:r>
                        <w:t>mot høyre er det stigende inkuberingstid</w:t>
                      </w:r>
                      <w:r>
                        <w:t xml:space="preserve">. Se tekst for mer informasjon. Øverst i bildet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272165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44C7A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833B4" wp14:editId="6E945AD4">
                <wp:simplePos x="0" y="0"/>
                <wp:positionH relativeFrom="column">
                  <wp:posOffset>2942590</wp:posOffset>
                </wp:positionH>
                <wp:positionV relativeFrom="paragraph">
                  <wp:posOffset>2451100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F97E52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523BA7">
                              <w:t>4</w:t>
                            </w:r>
                            <w:r>
                              <w:t xml:space="preserve"> viser analysen av chemiluminescence deteksjonen. Plottet viser intensiteten ved </w:t>
                            </w:r>
                            <w:r w:rsidR="00750BD0">
                              <w:t>en gitt inkuberingstid</w:t>
                            </w:r>
                            <w:r>
                              <w:t xml:space="preserve"> som er normalisert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-actin. Det er ikke alltid et 1 til 1 forhold av chemiluminescence og antall p53, men intensiteten representerer antallet.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33B4" id="Text Box 17" o:spid="_x0000_s1029" type="#_x0000_t202" style="position:absolute;margin-left:231.7pt;margin-top:193pt;width:207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+yLgIAAGYEAAAOAAAAZHJzL2Uyb0RvYy54bWysVMFu2zAMvQ/YPwi6L07SL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N0nzqww&#10;pNFOdYF9ho6Ri/hpnc8pbesoMXTkp9zB78kZYXcVmvglQIzixPT5ym6sJsk5nd1Mbm8pJCk2u/kY&#10;a2SvRx368EWBYdEoOJJ0iVFx2vjQpw4p8SYPuinXjdZxEwMrjewkSOa2boK6FP8tS9uYayGe6gtG&#10;Txbx9TiiFbp9l/iYDhj3UJ4JOkLfPN7JdUP3bYQPzwKpWwgSTUB4oqXS0BYcLhZnNeCPv/ljPolI&#10;Uc5a6r6C++9HgYoz/dWSvLFVBwMHYz8Y9mhWQEgnNFtOJpMOYNCDWSGYFxqMZbyFQsJKuqvgYTBX&#10;oZ8BGiyplsuURA3pRNjYrZOx9MDrrnsR6C6qBBLzEYa+FPkbcfrcJI9bHgMxnZSLvPYsXuimZk7a&#10;XwYvTsuv+5T1+ntY/AQAAP//AwBQSwMEFAAGAAgAAAAhALIiDCnhAAAACwEAAA8AAABkcnMvZG93&#10;bnJldi54bWxMj7FOwzAQhnck3sE6JBZEnZIojUKcqqpggKVq6MLmxm4ciM+R7bTh7TlYYLy7T/99&#10;f7We7cDO2ofeoYDlIgGmsXWqx07A4e35vgAWokQlB4dawJcOsK6vrypZKnfBvT43sWMUgqGUAkyM&#10;Y8l5aI22MizcqJFuJ+etjDT6jisvLxRuB/6QJDm3skf6YOSot0a3n81kBeyy9525m05Pr5ss9S+H&#10;aZt/dI0Qtzfz5hFY1HP8g+FHn9ShJqejm1AFNgjI8jQjVEBa5FSKiGK1ojLH380SeF3x/x3qbwAA&#10;AP//AwBQSwECLQAUAAYACAAAACEAtoM4kv4AAADhAQAAEwAAAAAAAAAAAAAAAAAAAAAAW0NvbnRl&#10;bnRfVHlwZXNdLnhtbFBLAQItABQABgAIAAAAIQA4/SH/1gAAAJQBAAALAAAAAAAAAAAAAAAAAC8B&#10;AABfcmVscy8ucmVsc1BLAQItABQABgAIAAAAIQAU22+yLgIAAGYEAAAOAAAAAAAAAAAAAAAAAC4C&#10;AABkcnMvZTJvRG9jLnhtbFBLAQItABQABgAIAAAAIQCyIgwp4QAAAAsBAAAPAAAAAAAAAAAAAAAA&#10;AIgEAABkcnMvZG93bnJldi54bWxQSwUGAAAAAAQABADzAAAAlgUAAAAA&#10;" stroked="f">
                <v:textbox style="mso-fit-shape-to-text:t" inset="0,0,0,0">
                  <w:txbxContent>
                    <w:p w:rsidR="00E44C7A" w:rsidRPr="00F97E52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523BA7">
                        <w:t>4</w:t>
                      </w:r>
                      <w:r>
                        <w:t xml:space="preserve"> viser analysen av chemiluminescence deteksjonen. Plottet viser intensiteten ved </w:t>
                      </w:r>
                      <w:r w:rsidR="00750BD0">
                        <w:t>en gitt inkuberingstid</w:t>
                      </w:r>
                      <w:r>
                        <w:t xml:space="preserve"> som er normalisert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-actin. Det er ikke alltid et 1 til 1 forhold av chemiluminescence og antall p53, men intensiteten representerer antallet.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4432" w:rsidRDefault="00750BD0">
      <w:r w:rsidRPr="00E44C7A">
        <w:drawing>
          <wp:anchor distT="0" distB="0" distL="144145" distR="0" simplePos="0" relativeHeight="251666432" behindDoc="1" locked="0" layoutInCell="1" allowOverlap="1" wp14:anchorId="4E9DFDE9" wp14:editId="1E22A030">
            <wp:simplePos x="0" y="0"/>
            <wp:positionH relativeFrom="column">
              <wp:posOffset>2824480</wp:posOffset>
            </wp:positionH>
            <wp:positionV relativeFrom="paragraph">
              <wp:posOffset>137160</wp:posOffset>
            </wp:positionV>
            <wp:extent cx="2629535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C7A">
        <w:drawing>
          <wp:anchor distT="0" distB="0" distL="114300" distR="114300" simplePos="0" relativeHeight="251667456" behindDoc="1" locked="0" layoutInCell="1" allowOverlap="1" wp14:anchorId="7ED373B4" wp14:editId="110AAE17">
            <wp:simplePos x="0" y="0"/>
            <wp:positionH relativeFrom="margin">
              <wp:posOffset>14605</wp:posOffset>
            </wp:positionH>
            <wp:positionV relativeFrom="paragraph">
              <wp:posOffset>24130</wp:posOffset>
            </wp:positionV>
            <wp:extent cx="265493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88" y="21421"/>
                <wp:lineTo x="2138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432" w:rsidRDefault="00FE4432"/>
    <w:p w:rsidR="00FE4432" w:rsidRDefault="00FE4432"/>
    <w:p w:rsidR="00750BD0" w:rsidRDefault="00811C2E">
      <w:r>
        <w:t xml:space="preserve">I </w:t>
      </w:r>
    </w:p>
    <w:p w:rsidR="00750BD0" w:rsidRDefault="00750BD0"/>
    <w:p w:rsidR="00750BD0" w:rsidRDefault="00750BD0"/>
    <w:p w:rsidR="00750BD0" w:rsidRDefault="00750BD0"/>
    <w:p w:rsidR="00750BD0" w:rsidRDefault="00750BD0"/>
    <w:p w:rsidR="00750BD0" w:rsidRDefault="00750BD0"/>
    <w:p w:rsidR="00C60C4A" w:rsidRDefault="004F0EA6" w:rsidP="00C60C4A">
      <w:pPr>
        <w:rPr>
          <w:rFonts w:eastAsiaTheme="minorEastAsia"/>
        </w:rPr>
      </w:pPr>
      <w:r>
        <w:t>I tabell 2</w:t>
      </w:r>
      <w:r w:rsidR="00C60C4A">
        <w:t xml:space="preserve"> nedenfor er de relative intensitetene til både p53 og </w:t>
      </w:r>
      <m:oMath>
        <m:r>
          <w:rPr>
            <w:rFonts w:ascii="Cambria Math" w:hAnsi="Cambria Math"/>
          </w:rPr>
          <m:t>β</m:t>
        </m:r>
      </m:oMath>
      <w:r w:rsidR="00C60C4A">
        <w:rPr>
          <w:rFonts w:eastAsiaTheme="minorEastAsia"/>
        </w:rPr>
        <w:t xml:space="preserve">-actin listet, for de forskjellige </w:t>
      </w:r>
      <w:r w:rsidR="00C60C4A">
        <w:rPr>
          <w:rFonts w:eastAsiaTheme="minorEastAsia"/>
        </w:rPr>
        <w:t>inkuberingstidene</w:t>
      </w:r>
      <w:r w:rsidR="00C60C4A">
        <w:rPr>
          <w:rFonts w:eastAsiaTheme="minorEastAsia"/>
        </w:rPr>
        <w:t xml:space="preserve"> </w:t>
      </w:r>
      <w:r w:rsidR="00C60C4A">
        <w:rPr>
          <w:rFonts w:eastAsiaTheme="minorEastAsia"/>
        </w:rPr>
        <w:t>til hver</w:t>
      </w:r>
      <w:r w:rsidR="00C60C4A">
        <w:rPr>
          <w:rFonts w:eastAsiaTheme="minorEastAsia"/>
        </w:rPr>
        <w:t xml:space="preserve"> celleprøvene.</w:t>
      </w:r>
    </w:p>
    <w:p w:rsidR="004F0EA6" w:rsidRDefault="004F0EA6" w:rsidP="00C6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11C2E" w:rsidTr="00564AD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811C2E" w:rsidRDefault="00811C2E" w:rsidP="00564AD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564AD2">
            <w:pPr>
              <w:jc w:val="center"/>
            </w:pPr>
            <w:r>
              <w:t>Kontroll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 xml:space="preserve">0.5 </w:t>
            </w:r>
            <w:r>
              <w:t>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 xml:space="preserve">1.0 </w:t>
            </w:r>
            <w:r>
              <w:t>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 xml:space="preserve">1.5 </w:t>
            </w:r>
            <w:r>
              <w:t>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 xml:space="preserve">2.0 </w:t>
            </w:r>
            <w:r>
              <w:t>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 xml:space="preserve">2.5 </w:t>
            </w:r>
            <w:r>
              <w:t>h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811C2E" w:rsidRDefault="00811C2E" w:rsidP="00B6420A">
            <w:pPr>
              <w:jc w:val="center"/>
            </w:pPr>
            <w:r>
              <w:t>0.</w:t>
            </w:r>
            <w:r w:rsidR="00B6420A">
              <w:t>81</w:t>
            </w:r>
          </w:p>
        </w:tc>
        <w:tc>
          <w:tcPr>
            <w:tcW w:w="1294" w:type="dxa"/>
          </w:tcPr>
          <w:p w:rsidR="00811C2E" w:rsidRDefault="00B6420A" w:rsidP="00564AD2">
            <w:pPr>
              <w:jc w:val="center"/>
            </w:pPr>
            <w:r>
              <w:t>0.91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0.97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811C2E" w:rsidRDefault="00811C2E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0.83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w:r>
              <w:t>P53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0.46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0.86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0.83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0.56</w:t>
            </w:r>
          </w:p>
        </w:tc>
        <w:tc>
          <w:tcPr>
            <w:tcW w:w="1295" w:type="dxa"/>
          </w:tcPr>
          <w:p w:rsidR="00811C2E" w:rsidRDefault="0074604B" w:rsidP="00571E36">
            <w:pPr>
              <w:keepNext/>
              <w:jc w:val="center"/>
            </w:pPr>
            <w:r>
              <w:t>0.80</w:t>
            </w:r>
          </w:p>
        </w:tc>
      </w:tr>
    </w:tbl>
    <w:p w:rsidR="00571E36" w:rsidRDefault="00571E36" w:rsidP="00571E36">
      <w:pPr>
        <w:pStyle w:val="Caption"/>
      </w:pPr>
    </w:p>
    <w:p w:rsidR="00571E36" w:rsidRDefault="00571E36" w:rsidP="00571E36">
      <w:pPr>
        <w:pStyle w:val="Caption"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 xml:space="preserve">viser de relative </w:t>
      </w:r>
      <w:r>
        <w:t>intensitetene</w:t>
      </w:r>
      <w:r>
        <w:t xml:space="preserve">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-actin, for de forskjellige </w:t>
      </w:r>
      <w:r>
        <w:rPr>
          <w:rFonts w:eastAsiaTheme="minorEastAsia"/>
        </w:rPr>
        <w:t>inkuberingstidene</w:t>
      </w:r>
      <w:r>
        <w:rPr>
          <w:rFonts w:eastAsiaTheme="minorEastAsia"/>
        </w:rPr>
        <w:t xml:space="preserve"> til </w:t>
      </w:r>
      <w:r>
        <w:rPr>
          <w:rFonts w:eastAsiaTheme="minorEastAsia"/>
        </w:rPr>
        <w:t xml:space="preserve">hver </w:t>
      </w:r>
      <w:r>
        <w:rPr>
          <w:rFonts w:eastAsiaTheme="minorEastAsia"/>
        </w:rPr>
        <w:t>celleprøvene.</w:t>
      </w:r>
    </w:p>
    <w:p w:rsidR="00811C2E" w:rsidRDefault="00811C2E" w:rsidP="00571E36">
      <w:pPr>
        <w:pStyle w:val="Caption"/>
      </w:pPr>
    </w:p>
    <w:p w:rsidR="00B01A91" w:rsidRPr="00B01A91" w:rsidRDefault="00B01A91" w:rsidP="00B01A91"/>
    <w:p w:rsidR="004A06B9" w:rsidRDefault="000052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A06B9" w:rsidRPr="0000527C">
        <w:rPr>
          <w:b/>
          <w:sz w:val="28"/>
          <w:szCs w:val="28"/>
        </w:rPr>
        <w:t>Diskusjon</w:t>
      </w:r>
    </w:p>
    <w:p w:rsidR="008E0496" w:rsidRPr="008E0496" w:rsidRDefault="008E0496" w:rsidP="008E0496">
      <w:pPr>
        <w:rPr>
          <w:b/>
          <w:sz w:val="28"/>
          <w:szCs w:val="28"/>
        </w:rPr>
      </w:pPr>
      <w:r w:rsidRPr="00B01A91">
        <w:rPr>
          <w:color w:val="FF0000"/>
        </w:rPr>
        <w:t>!!!!!!!!!!!</w:t>
      </w:r>
      <w:r>
        <w:rPr>
          <w:color w:val="FF0000"/>
        </w:rPr>
        <w:t xml:space="preserve"> </w:t>
      </w:r>
      <w:r>
        <w:t>Generelt om vårt eksperiment.</w:t>
      </w:r>
    </w:p>
    <w:p w:rsidR="005922B7" w:rsidRDefault="0000527C">
      <w:r>
        <w:t xml:space="preserve">I det første eksperimentet </w:t>
      </w:r>
      <w:r w:rsidR="00402F7D">
        <w:t>observeres det</w:t>
      </w:r>
      <w:r>
        <w:t xml:space="preserve"> ut i fra figur 2 at p53 antallet øker fra 0 Gy til 1.0 Gy. Dette kan komme av at det skjer flere brudd i DNAet. ATM finner bruddet og som re</w:t>
      </w:r>
      <w:r w:rsidR="004043E6">
        <w:t>s</w:t>
      </w:r>
      <w:r>
        <w:t xml:space="preserve">pons blir det dannet p53 som kan stoppe cellesyklusen slik at cellen kan gis et forsøk i å reparere </w:t>
      </w:r>
      <w:r w:rsidR="005D2BCD">
        <w:t>skaden</w:t>
      </w:r>
      <w:r>
        <w:t>.</w:t>
      </w:r>
      <w:r w:rsidR="005922B7">
        <w:t xml:space="preserve"> Grunnen til at </w:t>
      </w:r>
      <w:r w:rsidR="005922B7">
        <w:lastRenderedPageBreak/>
        <w:t xml:space="preserve">det observeres </w:t>
      </w:r>
      <w:r w:rsidR="005D526E">
        <w:t>et større antall</w:t>
      </w:r>
      <w:r w:rsidR="005922B7">
        <w:t xml:space="preserve"> p53 ved 1.0 Gy enn 0.5 Gy kan være at </w:t>
      </w:r>
      <w:r w:rsidR="0000678F">
        <w:t>ikke alle celler får et trådbrudd ved 0.5 Gy, evt. At</w:t>
      </w:r>
      <w:r w:rsidR="005D526E">
        <w:t xml:space="preserve"> et større antall celler</w:t>
      </w:r>
      <w:r w:rsidR="0000678F">
        <w:t xml:space="preserve"> klarer å reparere seg selv innen de to timene som ble gitt til inkubering.</w:t>
      </w:r>
      <w:r w:rsidR="00987A38">
        <w:t xml:space="preserve"> </w:t>
      </w:r>
    </w:p>
    <w:p w:rsidR="004A06B9" w:rsidRDefault="005922B7">
      <w:r>
        <w:t>Ved økende stråledose observeres det at det er en synkende trend i antall p53. Det kan komme av at p53 har avgjort at skaden</w:t>
      </w:r>
      <w:r w:rsidR="00B01A91">
        <w:t>e</w:t>
      </w:r>
      <w:r w:rsidR="0000527C">
        <w:t xml:space="preserve"> </w:t>
      </w:r>
      <w:r w:rsidR="00B01A91">
        <w:t xml:space="preserve">er for store og at det er bedre at cellen tar «selvmord», apoptose. </w:t>
      </w:r>
      <w:r w:rsidR="00B01A91" w:rsidRPr="00B01A91">
        <w:rPr>
          <w:color w:val="FF0000"/>
        </w:rPr>
        <w:t xml:space="preserve">!!!!!!!!!!! </w:t>
      </w:r>
      <w:r w:rsidR="00B01A91">
        <w:t>Fra teoridelen kan vi se at ved økende bestråling gir en synkende overlevingsrate, «Kanskje noe om target teori</w:t>
      </w:r>
      <w:r w:rsidR="00F408C0">
        <w:t>??</w:t>
      </w:r>
      <w:r w:rsidR="00B01A91">
        <w:t>»</w:t>
      </w:r>
      <w:r w:rsidR="00A447E4">
        <w:t xml:space="preserve"> og det stemmer ganske bra med dette</w:t>
      </w:r>
      <w:r w:rsidR="002504C5">
        <w:t>. Det er allikevel på et</w:t>
      </w:r>
      <w:r w:rsidR="00A557E4">
        <w:t xml:space="preserve"> p53</w:t>
      </w:r>
      <w:r w:rsidR="002504C5">
        <w:t xml:space="preserve"> høyt nivå,</w:t>
      </w:r>
      <w:r w:rsidR="00A557E4">
        <w:t xml:space="preserve"> noe som observeres  ut i fra kontroll prøven,</w:t>
      </w:r>
      <w:r w:rsidR="002504C5">
        <w:t xml:space="preserve"> som betyr at ikke alle cellene begikk apoptose. Det kan allikevel hende at cellene ble </w:t>
      </w:r>
      <w:r w:rsidR="00A447E4">
        <w:t>inaktivert</w:t>
      </w:r>
      <w:r w:rsidR="002504C5">
        <w:t>, noe som ikke kan tolkes ut ifra dette eksperimentet.</w:t>
      </w:r>
    </w:p>
    <w:p w:rsidR="00402F7D" w:rsidRDefault="00402F7D"/>
    <w:p w:rsidR="004A06B9" w:rsidRPr="006F1842" w:rsidRDefault="00402F7D" w:rsidP="00303E30">
      <w:r>
        <w:t xml:space="preserve">I det andre eksperimentet observeres det ut i fra figur 4 at det utrykkes et økende antall p53 proteiner med </w:t>
      </w:r>
      <w:r w:rsidR="006F1842">
        <w:t>stigende</w:t>
      </w:r>
      <w:r>
        <w:t xml:space="preserve"> inkuberingstid, frem til 1.5 timer.</w:t>
      </w:r>
      <w:r w:rsidR="006F1842">
        <w:t xml:space="preserve"> </w:t>
      </w:r>
      <w:r w:rsidR="006F1842" w:rsidRPr="00B01A91">
        <w:rPr>
          <w:color w:val="FF0000"/>
        </w:rPr>
        <w:t>!!!!!!!!!!!</w:t>
      </w:r>
      <w:r w:rsidR="006F1842">
        <w:rPr>
          <w:color w:val="FF0000"/>
        </w:rPr>
        <w:t xml:space="preserve"> </w:t>
      </w:r>
      <w:r w:rsidR="006F1842">
        <w:t>Dette kommer av at p53 er en sen-re</w:t>
      </w:r>
      <w:r w:rsidR="00621AF5">
        <w:t>s</w:t>
      </w:r>
      <w:r w:rsidR="006F1842">
        <w:t>pons reaksjon, det tar litt tid før p53 antallet vokser.</w:t>
      </w:r>
      <w:r w:rsidR="00621AF5">
        <w:t xml:space="preserve"> Deretter fra 1.5 til 2.0 timer synker p53 antallet igjen. Dette kan tenkes å være av samme grunn som i eksperiment 1: </w:t>
      </w:r>
      <w:r w:rsidR="00621AF5">
        <w:t>Det kan komme av at p53 har avgjort at skadene er for store og at det er bedre at cellen tar «selvmord», apoptose</w:t>
      </w:r>
      <w:r w:rsidR="00621AF5">
        <w:t>.</w:t>
      </w:r>
      <w:r w:rsidR="00983057">
        <w:t xml:space="preserve"> Men fra 2.0 til 2.5 timer så øker p53 antallet kraftig. </w:t>
      </w:r>
      <w:r w:rsidR="00983057" w:rsidRPr="00B01A91">
        <w:rPr>
          <w:color w:val="FF0000"/>
        </w:rPr>
        <w:t>!!!!!!!!!!!</w:t>
      </w:r>
      <w:r w:rsidR="00983057">
        <w:rPr>
          <w:color w:val="FF0000"/>
        </w:rPr>
        <w:t xml:space="preserve"> </w:t>
      </w:r>
      <w:r w:rsidR="00983057">
        <w:t>Dette ser underlig ut, det som ble forventet var å se et synkende p53 antall</w:t>
      </w:r>
      <w:r w:rsidR="00303E30">
        <w:t xml:space="preserve">. Det kan ha vært en eksperimentell feil, som f.eks. at dose </w:t>
      </w:r>
      <w:r w:rsidR="00303E30">
        <w:rPr>
          <w:rFonts w:eastAsiaTheme="minorEastAsia"/>
        </w:rPr>
        <w:t xml:space="preserve">intensiteten ved 2.0 timers inkubering er litt for lav og at </w:t>
      </w:r>
      <m:oMath>
        <m:r>
          <w:rPr>
            <w:rFonts w:ascii="Cambria Math" w:eastAsiaTheme="minorEastAsia" w:hAnsi="Cambria Math"/>
          </w:rPr>
          <m:t>β</m:t>
        </m:r>
      </m:oMath>
      <w:r w:rsidR="00303E30">
        <w:rPr>
          <w:rFonts w:eastAsiaTheme="minorEastAsia"/>
        </w:rPr>
        <w:t xml:space="preserve">-actin intensiteten </w:t>
      </w:r>
      <w:r w:rsidR="00303E30">
        <w:rPr>
          <w:rFonts w:eastAsiaTheme="minorEastAsia"/>
        </w:rPr>
        <w:t>ved</w:t>
      </w:r>
      <w:r w:rsidR="00303E30">
        <w:rPr>
          <w:rFonts w:eastAsiaTheme="minorEastAsia"/>
        </w:rPr>
        <w:t xml:space="preserve"> 2.5</w:t>
      </w:r>
      <w:r w:rsidR="00303E30">
        <w:rPr>
          <w:rFonts w:eastAsiaTheme="minorEastAsia"/>
        </w:rPr>
        <w:t xml:space="preserve"> timers inkubering</w:t>
      </w:r>
      <w:r w:rsidR="00303E30">
        <w:rPr>
          <w:rFonts w:eastAsiaTheme="minorEastAsia"/>
        </w:rPr>
        <w:t xml:space="preserve"> er litt for lav.</w:t>
      </w:r>
      <w:r w:rsidR="007A180F">
        <w:rPr>
          <w:rFonts w:eastAsiaTheme="minorEastAsia"/>
        </w:rPr>
        <w:t xml:space="preserve"> Dette gjør at, i figur 4, 2.0 timer er litt for lav og 2.5 timer er litt for høy. Hvis disse justeringene gjøres kan trenden som forventes muliges ses.</w:t>
      </w:r>
      <w:r w:rsidR="001A1711">
        <w:rPr>
          <w:rFonts w:eastAsiaTheme="minorEastAsia"/>
        </w:rPr>
        <w:t xml:space="preserve"> Dette kan forekomme, som skjedde i vårt eksperiment, når litt av væsken ikke treffer i SDS page gelen.</w:t>
      </w:r>
    </w:p>
    <w:p w:rsidR="00402F7D" w:rsidRDefault="00402F7D"/>
    <w:p w:rsidR="004A06B9" w:rsidRPr="00714101" w:rsidRDefault="00714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A06B9" w:rsidRPr="00714101">
        <w:rPr>
          <w:b/>
          <w:sz w:val="28"/>
          <w:szCs w:val="28"/>
        </w:rPr>
        <w:t>Konklusjon</w:t>
      </w:r>
    </w:p>
    <w:sectPr w:rsidR="004A06B9" w:rsidRPr="00714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9"/>
    <w:rsid w:val="0000527C"/>
    <w:rsid w:val="0000678F"/>
    <w:rsid w:val="00077E96"/>
    <w:rsid w:val="000A58E4"/>
    <w:rsid w:val="001527CA"/>
    <w:rsid w:val="001A1711"/>
    <w:rsid w:val="001E07CD"/>
    <w:rsid w:val="00206705"/>
    <w:rsid w:val="002504C5"/>
    <w:rsid w:val="00272165"/>
    <w:rsid w:val="00290B5A"/>
    <w:rsid w:val="00303E30"/>
    <w:rsid w:val="003213B1"/>
    <w:rsid w:val="003508ED"/>
    <w:rsid w:val="00370DA4"/>
    <w:rsid w:val="00393F87"/>
    <w:rsid w:val="003E5221"/>
    <w:rsid w:val="00402F7D"/>
    <w:rsid w:val="004043E6"/>
    <w:rsid w:val="004435BF"/>
    <w:rsid w:val="0046616D"/>
    <w:rsid w:val="0048254B"/>
    <w:rsid w:val="004910D8"/>
    <w:rsid w:val="004A06B9"/>
    <w:rsid w:val="004A523D"/>
    <w:rsid w:val="004C5597"/>
    <w:rsid w:val="004D42AB"/>
    <w:rsid w:val="004F0EA6"/>
    <w:rsid w:val="00505436"/>
    <w:rsid w:val="005056AB"/>
    <w:rsid w:val="00523A1E"/>
    <w:rsid w:val="00523BA7"/>
    <w:rsid w:val="00531D85"/>
    <w:rsid w:val="0053380C"/>
    <w:rsid w:val="00536798"/>
    <w:rsid w:val="00547920"/>
    <w:rsid w:val="00557E74"/>
    <w:rsid w:val="00561DFA"/>
    <w:rsid w:val="00571E36"/>
    <w:rsid w:val="005922B7"/>
    <w:rsid w:val="005949A3"/>
    <w:rsid w:val="005B2492"/>
    <w:rsid w:val="005D2BCD"/>
    <w:rsid w:val="005D526E"/>
    <w:rsid w:val="00621AF5"/>
    <w:rsid w:val="006557AA"/>
    <w:rsid w:val="006724EC"/>
    <w:rsid w:val="006B2F40"/>
    <w:rsid w:val="006C22B2"/>
    <w:rsid w:val="006D59D3"/>
    <w:rsid w:val="006F1842"/>
    <w:rsid w:val="00702582"/>
    <w:rsid w:val="00714101"/>
    <w:rsid w:val="0074604B"/>
    <w:rsid w:val="00750BD0"/>
    <w:rsid w:val="007977DC"/>
    <w:rsid w:val="007A180F"/>
    <w:rsid w:val="00803E69"/>
    <w:rsid w:val="00811C2E"/>
    <w:rsid w:val="00830A95"/>
    <w:rsid w:val="0087061E"/>
    <w:rsid w:val="008E0496"/>
    <w:rsid w:val="00983057"/>
    <w:rsid w:val="0098334F"/>
    <w:rsid w:val="00987A38"/>
    <w:rsid w:val="009B60B3"/>
    <w:rsid w:val="009C60D4"/>
    <w:rsid w:val="00A32DD7"/>
    <w:rsid w:val="00A339AA"/>
    <w:rsid w:val="00A447E4"/>
    <w:rsid w:val="00A557E4"/>
    <w:rsid w:val="00AC5A06"/>
    <w:rsid w:val="00B01A91"/>
    <w:rsid w:val="00B41797"/>
    <w:rsid w:val="00B6420A"/>
    <w:rsid w:val="00B70AA4"/>
    <w:rsid w:val="00BB189F"/>
    <w:rsid w:val="00BC3A0E"/>
    <w:rsid w:val="00BE5474"/>
    <w:rsid w:val="00C60C4A"/>
    <w:rsid w:val="00C642E7"/>
    <w:rsid w:val="00C96592"/>
    <w:rsid w:val="00CC32A1"/>
    <w:rsid w:val="00CF0BDA"/>
    <w:rsid w:val="00D12E50"/>
    <w:rsid w:val="00E151BD"/>
    <w:rsid w:val="00E44C7A"/>
    <w:rsid w:val="00E6599F"/>
    <w:rsid w:val="00E82B38"/>
    <w:rsid w:val="00EC7D55"/>
    <w:rsid w:val="00EE6548"/>
    <w:rsid w:val="00EF1970"/>
    <w:rsid w:val="00F408C0"/>
    <w:rsid w:val="00FB22F7"/>
    <w:rsid w:val="00FB4291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05DC"/>
  <w15:chartTrackingRefBased/>
  <w15:docId w15:val="{39B431F1-1F1E-4D9E-97AA-F238C4F3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3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380C"/>
    <w:rPr>
      <w:color w:val="808080"/>
    </w:rPr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F87A29C</Template>
  <TotalTime>288</TotalTime>
  <Pages>4</Pages>
  <Words>805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91</cp:revision>
  <dcterms:created xsi:type="dcterms:W3CDTF">2018-10-19T08:38:00Z</dcterms:created>
  <dcterms:modified xsi:type="dcterms:W3CDTF">2018-10-19T13:26:00Z</dcterms:modified>
</cp:coreProperties>
</file>