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10E555" w14:textId="5B7A7055" w:rsidR="000B20DE" w:rsidRPr="005914DA" w:rsidRDefault="005914DA" w:rsidP="000B20DE">
      <w:pPr>
        <w:spacing w:after="0" w:line="360" w:lineRule="auto"/>
        <w:jc w:val="center"/>
        <w:rPr>
          <w:rFonts w:ascii="Calibri" w:hAnsi="Calibri" w:cs="Calibri"/>
          <w:b/>
          <w:bCs/>
          <w:sz w:val="26"/>
          <w:szCs w:val="26"/>
        </w:rPr>
      </w:pPr>
      <w:r w:rsidRPr="005914DA">
        <w:rPr>
          <w:rFonts w:ascii="Calibri" w:hAnsi="Calibri" w:cs="Calibri"/>
          <w:b/>
          <w:bCs/>
          <w:sz w:val="26"/>
          <w:szCs w:val="26"/>
        </w:rPr>
        <w:t>Analysis of Poland’s Economic and Trade Performance</w:t>
      </w:r>
    </w:p>
    <w:p w14:paraId="64DAC6FE" w14:textId="28E9E889" w:rsidR="000B20DE" w:rsidRDefault="000B20DE" w:rsidP="000B20DE">
      <w:pPr>
        <w:spacing w:after="0" w:line="360" w:lineRule="auto"/>
        <w:rPr>
          <w:rFonts w:ascii="Calibri" w:hAnsi="Calibri" w:cs="Calibri"/>
          <w:b/>
          <w:bCs/>
          <w:sz w:val="22"/>
          <w:szCs w:val="22"/>
        </w:rPr>
      </w:pPr>
      <w:r>
        <w:rPr>
          <w:rFonts w:ascii="Calibri" w:hAnsi="Calibri" w:cs="Calibri"/>
          <w:b/>
          <w:bCs/>
          <w:sz w:val="22"/>
          <w:szCs w:val="22"/>
        </w:rPr>
        <w:t>Executive Summary</w:t>
      </w:r>
    </w:p>
    <w:p w14:paraId="3091DB84" w14:textId="1C284B5C" w:rsidR="005914DA" w:rsidRPr="005914DA" w:rsidRDefault="005914DA" w:rsidP="000B20DE">
      <w:pPr>
        <w:spacing w:after="0" w:line="360" w:lineRule="auto"/>
        <w:rPr>
          <w:rFonts w:ascii="Calibri" w:hAnsi="Calibri" w:cs="Calibri"/>
          <w:sz w:val="22"/>
          <w:szCs w:val="22"/>
        </w:rPr>
      </w:pPr>
      <w:r>
        <w:rPr>
          <w:rFonts w:ascii="Calibri" w:hAnsi="Calibri" w:cs="Calibri"/>
          <w:sz w:val="22"/>
          <w:szCs w:val="22"/>
        </w:rPr>
        <w:t xml:space="preserve">Poland’s growth since the collapse of the Soviet Union has seen continued gains in productivity until today, augmented by rapid growth in capital investment since Poland joined the EU in 2004. Poland’s export patterns show a shift away from traditional sectors such as raw textiles and agricultural products towards more finished and industrially manufactured textiles along with industrial materials and goods more generally. Trade patterns for Poland reveal potential shortcomings in Poland’s integration with its neighbors and key partner nations, especially within the context of its relationship with the EU and other EU states. As Poland continues to invest in growing its manufacturing base domestically, it must invest in building stronger relationships with its trading partners and examine whether its relationship with the EU may be creating inadvertent barriers to trade within the economic bloc. </w:t>
      </w:r>
    </w:p>
    <w:p w14:paraId="79D9788C" w14:textId="520417A8" w:rsidR="000B20DE" w:rsidRDefault="000B20DE" w:rsidP="000B20DE">
      <w:pPr>
        <w:spacing w:after="0" w:line="360" w:lineRule="auto"/>
        <w:rPr>
          <w:rFonts w:ascii="Calibri" w:hAnsi="Calibri" w:cs="Calibri"/>
          <w:b/>
          <w:bCs/>
          <w:sz w:val="22"/>
          <w:szCs w:val="22"/>
        </w:rPr>
      </w:pPr>
      <w:r>
        <w:rPr>
          <w:rFonts w:ascii="Calibri" w:hAnsi="Calibri" w:cs="Calibri"/>
          <w:b/>
          <w:bCs/>
          <w:sz w:val="22"/>
          <w:szCs w:val="22"/>
        </w:rPr>
        <w:t>Background: Economic Performance</w:t>
      </w:r>
    </w:p>
    <w:p w14:paraId="2A9355A8" w14:textId="1DA5472E" w:rsidR="000B20DE" w:rsidRPr="000B20DE" w:rsidRDefault="000B20DE" w:rsidP="000B20DE">
      <w:pPr>
        <w:spacing w:after="0" w:line="360" w:lineRule="auto"/>
        <w:rPr>
          <w:rFonts w:ascii="Calibri" w:hAnsi="Calibri" w:cs="Calibri"/>
          <w:sz w:val="22"/>
          <w:szCs w:val="22"/>
        </w:rPr>
      </w:pPr>
      <w:r w:rsidRPr="000B20DE">
        <w:rPr>
          <w:rFonts w:ascii="Calibri" w:hAnsi="Calibri" w:cs="Calibri"/>
          <w:sz w:val="22"/>
          <w:szCs w:val="22"/>
        </w:rPr>
        <w:t xml:space="preserve">During this period, Poland experienced consistent economic growth that was driven by different factors. In the 1980s, Poland's TFP was relatively stagnant. However, productivity started increasing in 1991, coinciding with the collapse of the Soviet Union and the end of communist rule over Poland in 1989. During this period, growth appears to have been largely driven by this increase in productivity, whereas per capita capital investment in Poland remained largely stable. However, starting in 2004, when Poland joined the European Union, it began to experience a more notable increase in capital investment along with </w:t>
      </w:r>
      <w:r w:rsidRPr="000B20DE">
        <w:rPr>
          <w:rFonts w:ascii="Calibri" w:hAnsi="Calibri" w:cs="Calibri"/>
          <w:sz w:val="22"/>
          <w:szCs w:val="22"/>
        </w:rPr>
        <w:t>continuing</w:t>
      </w:r>
      <w:r w:rsidRPr="000B20DE">
        <w:rPr>
          <w:rFonts w:ascii="Calibri" w:hAnsi="Calibri" w:cs="Calibri"/>
          <w:sz w:val="22"/>
          <w:szCs w:val="22"/>
        </w:rPr>
        <w:t xml:space="preserve"> productivity growth. During this period, Poland's productivity more than doubled</w:t>
      </w:r>
      <w:r>
        <w:rPr>
          <w:rFonts w:ascii="Calibri" w:hAnsi="Calibri" w:cs="Calibri"/>
          <w:sz w:val="22"/>
          <w:szCs w:val="22"/>
        </w:rPr>
        <w:t xml:space="preserve"> between 1980 and 2019</w:t>
      </w:r>
      <w:r w:rsidRPr="000B20DE">
        <w:rPr>
          <w:rFonts w:ascii="Calibri" w:hAnsi="Calibri" w:cs="Calibri"/>
          <w:sz w:val="22"/>
          <w:szCs w:val="22"/>
        </w:rPr>
        <w:t xml:space="preserve">. </w:t>
      </w:r>
    </w:p>
    <w:p w14:paraId="30867483" w14:textId="31C5ADAB" w:rsidR="000B20DE" w:rsidRDefault="000B20DE" w:rsidP="000B20DE">
      <w:pPr>
        <w:spacing w:after="0" w:line="360" w:lineRule="auto"/>
        <w:jc w:val="center"/>
        <w:rPr>
          <w:rFonts w:ascii="Calibri" w:hAnsi="Calibri" w:cs="Calibri"/>
          <w:b/>
          <w:bCs/>
          <w:sz w:val="22"/>
          <w:szCs w:val="22"/>
        </w:rPr>
      </w:pPr>
      <w:r w:rsidRPr="000B20DE">
        <w:rPr>
          <w:rFonts w:ascii="Calibri" w:hAnsi="Calibri" w:cs="Calibri"/>
          <w:b/>
          <w:bCs/>
          <w:sz w:val="22"/>
          <w:szCs w:val="22"/>
        </w:rPr>
        <w:drawing>
          <wp:inline distT="0" distB="0" distL="0" distR="0" wp14:anchorId="07A45762" wp14:editId="72F39F85">
            <wp:extent cx="3792427" cy="28289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804129" cy="2837654"/>
                    </a:xfrm>
                    <a:prstGeom prst="rect">
                      <a:avLst/>
                    </a:prstGeom>
                  </pic:spPr>
                </pic:pic>
              </a:graphicData>
            </a:graphic>
          </wp:inline>
        </w:drawing>
      </w:r>
    </w:p>
    <w:p w14:paraId="5E805360" w14:textId="4D63C7A1" w:rsidR="005B0E4C" w:rsidRPr="005B0E4C" w:rsidRDefault="005B0E4C" w:rsidP="000B20DE">
      <w:pPr>
        <w:spacing w:after="0" w:line="360" w:lineRule="auto"/>
        <w:jc w:val="center"/>
        <w:rPr>
          <w:rFonts w:ascii="Calibri" w:hAnsi="Calibri" w:cs="Calibri"/>
          <w:b/>
          <w:bCs/>
          <w:sz w:val="18"/>
          <w:szCs w:val="18"/>
        </w:rPr>
      </w:pPr>
      <w:r w:rsidRPr="005B0E4C">
        <w:rPr>
          <w:rFonts w:ascii="Calibri" w:hAnsi="Calibri" w:cs="Calibri"/>
          <w:b/>
          <w:bCs/>
          <w:sz w:val="18"/>
          <w:szCs w:val="18"/>
        </w:rPr>
        <w:t xml:space="preserve">Figure 1: </w:t>
      </w:r>
      <w:r>
        <w:rPr>
          <w:rFonts w:ascii="Calibri" w:hAnsi="Calibri" w:cs="Calibri"/>
          <w:b/>
          <w:bCs/>
          <w:sz w:val="18"/>
          <w:szCs w:val="18"/>
        </w:rPr>
        <w:t>Productivity Trends in Poland, 1980-2019</w:t>
      </w:r>
    </w:p>
    <w:p w14:paraId="2F9AFC12" w14:textId="13104C0F" w:rsidR="000B20DE" w:rsidRDefault="000B20DE" w:rsidP="000B20DE">
      <w:pPr>
        <w:spacing w:after="0" w:line="360" w:lineRule="auto"/>
        <w:rPr>
          <w:rFonts w:ascii="Calibri" w:hAnsi="Calibri" w:cs="Calibri"/>
          <w:b/>
          <w:bCs/>
          <w:sz w:val="22"/>
          <w:szCs w:val="22"/>
        </w:rPr>
      </w:pPr>
      <w:r>
        <w:rPr>
          <w:rFonts w:ascii="Calibri" w:hAnsi="Calibri" w:cs="Calibri"/>
          <w:b/>
          <w:bCs/>
          <w:sz w:val="22"/>
          <w:szCs w:val="22"/>
        </w:rPr>
        <w:lastRenderedPageBreak/>
        <w:t>Export and Comparative Advantage Assessment</w:t>
      </w:r>
    </w:p>
    <w:p w14:paraId="4DA5AADD" w14:textId="23EB19F7" w:rsidR="008566F3" w:rsidRDefault="005B0E4C" w:rsidP="000B20DE">
      <w:pPr>
        <w:spacing w:after="0" w:line="360" w:lineRule="auto"/>
        <w:rPr>
          <w:rFonts w:ascii="Calibri" w:hAnsi="Calibri" w:cs="Calibri"/>
          <w:sz w:val="22"/>
          <w:szCs w:val="22"/>
        </w:rPr>
      </w:pPr>
      <w:r>
        <w:rPr>
          <w:rFonts w:ascii="Calibri" w:hAnsi="Calibri" w:cs="Calibri"/>
          <w:sz w:val="22"/>
          <w:szCs w:val="22"/>
        </w:rPr>
        <w:t>Poland’s export data suggests a relatively diversified industrial and trade performance, with revealed comparative advantages greater than 1 in more than half of the HS2 sectors both in 2000 (50 sectors) and 2021 (61 sectors). However, the trade data from this period also suggests changing export and competitiveness patterns. As shown in the table, the sectors with some of the largest absolute RCA declines between 2000 and 2021 were among the most competitive sectors in 2000 – including HS 60 (</w:t>
      </w:r>
      <w:r w:rsidR="00C729BE">
        <w:rPr>
          <w:rFonts w:ascii="Calibri" w:hAnsi="Calibri" w:cs="Calibri"/>
          <w:sz w:val="22"/>
          <w:szCs w:val="22"/>
        </w:rPr>
        <w:t>Knitted or Crocheted Fabrics</w:t>
      </w:r>
      <w:r>
        <w:rPr>
          <w:rFonts w:ascii="Calibri" w:hAnsi="Calibri" w:cs="Calibri"/>
          <w:sz w:val="22"/>
          <w:szCs w:val="22"/>
        </w:rPr>
        <w:t>), HS 59 (</w:t>
      </w:r>
      <w:r w:rsidR="00C729BE">
        <w:rPr>
          <w:rFonts w:ascii="Calibri" w:hAnsi="Calibri" w:cs="Calibri"/>
          <w:sz w:val="22"/>
          <w:szCs w:val="22"/>
        </w:rPr>
        <w:t>Impregnated, Coated, Covered, or Laminated Textile Fabrics; Textile Articles Suitable for Industrial Use</w:t>
      </w:r>
      <w:r>
        <w:rPr>
          <w:rFonts w:ascii="Calibri" w:hAnsi="Calibri" w:cs="Calibri"/>
          <w:sz w:val="22"/>
          <w:szCs w:val="22"/>
        </w:rPr>
        <w:t>), and HS 51 (</w:t>
      </w:r>
      <w:r w:rsidR="00C729BE">
        <w:rPr>
          <w:rFonts w:ascii="Calibri" w:hAnsi="Calibri" w:cs="Calibri"/>
          <w:sz w:val="22"/>
          <w:szCs w:val="22"/>
        </w:rPr>
        <w:t>Wool and Fine or Coarse Animal Hair, Including Yarns and Woven Fabrics Thereof; Horsehair Yarn and Woven Fabric</w:t>
      </w:r>
      <w:r>
        <w:rPr>
          <w:rFonts w:ascii="Calibri" w:hAnsi="Calibri" w:cs="Calibri"/>
          <w:sz w:val="22"/>
          <w:szCs w:val="22"/>
        </w:rPr>
        <w:t>). The sectors in which Poland’s economy appears to be gaining the most competitiveness based on RCA are HS62 (</w:t>
      </w:r>
      <w:r w:rsidR="00C729BE">
        <w:rPr>
          <w:rFonts w:ascii="Calibri" w:hAnsi="Calibri" w:cs="Calibri"/>
          <w:sz w:val="22"/>
          <w:szCs w:val="22"/>
        </w:rPr>
        <w:t>Articles of Apparel and Clothing Accessories, not Knitted or Crocheted</w:t>
      </w:r>
      <w:r>
        <w:rPr>
          <w:rFonts w:ascii="Calibri" w:hAnsi="Calibri" w:cs="Calibri"/>
          <w:sz w:val="22"/>
          <w:szCs w:val="22"/>
        </w:rPr>
        <w:t>), HS 61</w:t>
      </w:r>
      <w:r w:rsidR="00C729BE">
        <w:rPr>
          <w:rFonts w:ascii="Calibri" w:hAnsi="Calibri" w:cs="Calibri"/>
          <w:sz w:val="22"/>
          <w:szCs w:val="22"/>
        </w:rPr>
        <w:t xml:space="preserve"> (Articles of Apparel and Clothing Accessories, Knitted or Crocheted)</w:t>
      </w:r>
      <w:r>
        <w:rPr>
          <w:rFonts w:ascii="Calibri" w:hAnsi="Calibri" w:cs="Calibri"/>
          <w:sz w:val="22"/>
          <w:szCs w:val="22"/>
        </w:rPr>
        <w:t>, and HS 1 (</w:t>
      </w:r>
      <w:r w:rsidR="00255DB1">
        <w:rPr>
          <w:rFonts w:ascii="Calibri" w:hAnsi="Calibri" w:cs="Calibri"/>
          <w:sz w:val="22"/>
          <w:szCs w:val="22"/>
        </w:rPr>
        <w:t>Live Animals</w:t>
      </w:r>
      <w:r>
        <w:rPr>
          <w:rFonts w:ascii="Calibri" w:hAnsi="Calibri" w:cs="Calibri"/>
          <w:sz w:val="22"/>
          <w:szCs w:val="22"/>
        </w:rPr>
        <w:t xml:space="preserve">). </w:t>
      </w:r>
      <w:r w:rsidR="00C729BE">
        <w:rPr>
          <w:rFonts w:ascii="Calibri" w:hAnsi="Calibri" w:cs="Calibri"/>
          <w:sz w:val="22"/>
          <w:szCs w:val="22"/>
        </w:rPr>
        <w:t>This perhaps suggests a shift from a focus on raw materials to the production of finished goods, especially in textile-related industries. Whereas in 2000, the most competitive sectors based on RCA in Poland were HS 59 (</w:t>
      </w:r>
      <w:r w:rsidR="00255DB1">
        <w:rPr>
          <w:rFonts w:ascii="Calibri" w:hAnsi="Calibri" w:cs="Calibri"/>
          <w:sz w:val="22"/>
          <w:szCs w:val="22"/>
        </w:rPr>
        <w:t>Impregnated, Coated, Covered, or Laminated Textile Fabrics; Textile Articles Suitable for Industrial Use</w:t>
      </w:r>
      <w:r w:rsidR="00C729BE">
        <w:rPr>
          <w:rFonts w:ascii="Calibri" w:hAnsi="Calibri" w:cs="Calibri"/>
          <w:sz w:val="22"/>
          <w:szCs w:val="22"/>
        </w:rPr>
        <w:t>), HS 5 (</w:t>
      </w:r>
      <w:r w:rsidR="00255DB1">
        <w:rPr>
          <w:rFonts w:ascii="Calibri" w:hAnsi="Calibri" w:cs="Calibri"/>
          <w:sz w:val="22"/>
          <w:szCs w:val="22"/>
        </w:rPr>
        <w:t>Products of Animal Origin</w:t>
      </w:r>
      <w:r w:rsidR="00C729BE">
        <w:rPr>
          <w:rFonts w:ascii="Calibri" w:hAnsi="Calibri" w:cs="Calibri"/>
          <w:sz w:val="22"/>
          <w:szCs w:val="22"/>
        </w:rPr>
        <w:t>), and HS 60 (</w:t>
      </w:r>
      <w:r w:rsidR="00255DB1">
        <w:rPr>
          <w:rFonts w:ascii="Calibri" w:hAnsi="Calibri" w:cs="Calibri"/>
          <w:sz w:val="22"/>
          <w:szCs w:val="22"/>
        </w:rPr>
        <w:t>Knitted or Crocheted Fabrics</w:t>
      </w:r>
      <w:r w:rsidR="00C729BE">
        <w:rPr>
          <w:rFonts w:ascii="Calibri" w:hAnsi="Calibri" w:cs="Calibri"/>
          <w:sz w:val="22"/>
          <w:szCs w:val="22"/>
        </w:rPr>
        <w:t>), the most competitive sectors in 2021 were HS 48 (</w:t>
      </w:r>
      <w:r w:rsidR="00255DB1">
        <w:rPr>
          <w:rFonts w:ascii="Calibri" w:hAnsi="Calibri" w:cs="Calibri"/>
          <w:sz w:val="22"/>
          <w:szCs w:val="22"/>
        </w:rPr>
        <w:t>Paper and Paperboard, Articles of Paper Pulp, Paper, or Paperboard</w:t>
      </w:r>
      <w:r w:rsidR="00C729BE">
        <w:rPr>
          <w:rFonts w:ascii="Calibri" w:hAnsi="Calibri" w:cs="Calibri"/>
          <w:sz w:val="22"/>
          <w:szCs w:val="22"/>
        </w:rPr>
        <w:t>), HS 83 (</w:t>
      </w:r>
      <w:r w:rsidR="00255DB1">
        <w:rPr>
          <w:rFonts w:ascii="Calibri" w:hAnsi="Calibri" w:cs="Calibri"/>
          <w:sz w:val="22"/>
          <w:szCs w:val="22"/>
        </w:rPr>
        <w:t>Miscellaneous Articles of Base Metal</w:t>
      </w:r>
      <w:r w:rsidR="00C729BE">
        <w:rPr>
          <w:rFonts w:ascii="Calibri" w:hAnsi="Calibri" w:cs="Calibri"/>
          <w:sz w:val="22"/>
          <w:szCs w:val="22"/>
        </w:rPr>
        <w:t>), and HS 89 (</w:t>
      </w:r>
      <w:r w:rsidR="00255DB1">
        <w:rPr>
          <w:rFonts w:ascii="Calibri" w:hAnsi="Calibri" w:cs="Calibri"/>
          <w:sz w:val="22"/>
          <w:szCs w:val="22"/>
        </w:rPr>
        <w:t>Ships, Boats, and Floating Structures</w:t>
      </w:r>
      <w:r w:rsidR="00C729BE">
        <w:rPr>
          <w:rFonts w:ascii="Calibri" w:hAnsi="Calibri" w:cs="Calibri"/>
          <w:sz w:val="22"/>
          <w:szCs w:val="22"/>
        </w:rPr>
        <w:t xml:space="preserve">). </w:t>
      </w:r>
      <w:r w:rsidR="00255DB1">
        <w:rPr>
          <w:rFonts w:ascii="Calibri" w:hAnsi="Calibri" w:cs="Calibri"/>
          <w:sz w:val="22"/>
          <w:szCs w:val="22"/>
        </w:rPr>
        <w:t xml:space="preserve">This further confirms a change towards more industrially oriented production as opposed to solely focusing on agricultural goods. </w:t>
      </w:r>
    </w:p>
    <w:p w14:paraId="7C9E68CB" w14:textId="77777777" w:rsidR="00255DB1" w:rsidRDefault="00255DB1" w:rsidP="000B20DE">
      <w:pPr>
        <w:spacing w:after="0" w:line="360" w:lineRule="auto"/>
        <w:rPr>
          <w:rFonts w:ascii="Calibri" w:hAnsi="Calibri" w:cs="Calibri"/>
          <w:sz w:val="22"/>
          <w:szCs w:val="22"/>
        </w:rPr>
      </w:pPr>
    </w:p>
    <w:tbl>
      <w:tblPr>
        <w:tblStyle w:val="TableGrid"/>
        <w:tblW w:w="0" w:type="auto"/>
        <w:tblInd w:w="2425" w:type="dxa"/>
        <w:tblLook w:val="04A0" w:firstRow="1" w:lastRow="0" w:firstColumn="1" w:lastColumn="0" w:noHBand="0" w:noVBand="1"/>
      </w:tblPr>
      <w:tblGrid>
        <w:gridCol w:w="1035"/>
        <w:gridCol w:w="1035"/>
        <w:gridCol w:w="1035"/>
        <w:gridCol w:w="1035"/>
      </w:tblGrid>
      <w:tr w:rsidR="005B0E4C" w14:paraId="1D00379E" w14:textId="77777777" w:rsidTr="001E2CFE">
        <w:tc>
          <w:tcPr>
            <w:tcW w:w="4140" w:type="dxa"/>
            <w:gridSpan w:val="4"/>
          </w:tcPr>
          <w:p w14:paraId="05DD7C8F" w14:textId="77777777" w:rsidR="005B0E4C" w:rsidRDefault="005B0E4C" w:rsidP="001E2CFE">
            <w:pPr>
              <w:spacing w:line="360" w:lineRule="auto"/>
              <w:jc w:val="center"/>
              <w:rPr>
                <w:rFonts w:ascii="Calibri" w:hAnsi="Calibri" w:cs="Calibri"/>
                <w:b/>
                <w:bCs/>
                <w:sz w:val="22"/>
                <w:szCs w:val="22"/>
              </w:rPr>
            </w:pPr>
            <w:r>
              <w:rPr>
                <w:rFonts w:ascii="Calibri" w:hAnsi="Calibri" w:cs="Calibri"/>
                <w:b/>
                <w:bCs/>
                <w:sz w:val="22"/>
                <w:szCs w:val="22"/>
              </w:rPr>
              <w:t>Largest Changes in Revealed Comparative Advantage (RCA) For Poland, 2000-2021</w:t>
            </w:r>
          </w:p>
        </w:tc>
      </w:tr>
      <w:tr w:rsidR="005B0E4C" w14:paraId="580CE24E" w14:textId="77777777" w:rsidTr="001E2CFE">
        <w:tc>
          <w:tcPr>
            <w:tcW w:w="2070" w:type="dxa"/>
            <w:gridSpan w:val="2"/>
          </w:tcPr>
          <w:p w14:paraId="2C626EAF" w14:textId="77777777" w:rsidR="005B0E4C" w:rsidRDefault="005B0E4C" w:rsidP="001E2CFE">
            <w:pPr>
              <w:spacing w:line="360" w:lineRule="auto"/>
              <w:jc w:val="center"/>
              <w:rPr>
                <w:rFonts w:ascii="Calibri" w:hAnsi="Calibri" w:cs="Calibri"/>
                <w:b/>
                <w:bCs/>
                <w:sz w:val="22"/>
                <w:szCs w:val="22"/>
              </w:rPr>
            </w:pPr>
            <w:r>
              <w:rPr>
                <w:rFonts w:ascii="Calibri" w:hAnsi="Calibri" w:cs="Calibri"/>
                <w:b/>
                <w:bCs/>
                <w:sz w:val="22"/>
                <w:szCs w:val="22"/>
              </w:rPr>
              <w:t>Largest Gains</w:t>
            </w:r>
          </w:p>
        </w:tc>
        <w:tc>
          <w:tcPr>
            <w:tcW w:w="2070" w:type="dxa"/>
            <w:gridSpan w:val="2"/>
          </w:tcPr>
          <w:p w14:paraId="573CF196" w14:textId="77777777" w:rsidR="005B0E4C" w:rsidRDefault="005B0E4C" w:rsidP="001E2CFE">
            <w:pPr>
              <w:spacing w:line="360" w:lineRule="auto"/>
              <w:jc w:val="center"/>
              <w:rPr>
                <w:rFonts w:ascii="Calibri" w:hAnsi="Calibri" w:cs="Calibri"/>
                <w:b/>
                <w:bCs/>
                <w:sz w:val="22"/>
                <w:szCs w:val="22"/>
              </w:rPr>
            </w:pPr>
            <w:r>
              <w:rPr>
                <w:rFonts w:ascii="Calibri" w:hAnsi="Calibri" w:cs="Calibri"/>
                <w:b/>
                <w:bCs/>
                <w:sz w:val="22"/>
                <w:szCs w:val="22"/>
              </w:rPr>
              <w:t>Largest Losses</w:t>
            </w:r>
          </w:p>
        </w:tc>
      </w:tr>
      <w:tr w:rsidR="005B0E4C" w14:paraId="42722EC5" w14:textId="77777777" w:rsidTr="001E2CFE">
        <w:tc>
          <w:tcPr>
            <w:tcW w:w="1035" w:type="dxa"/>
          </w:tcPr>
          <w:p w14:paraId="0152A9E0" w14:textId="77777777" w:rsidR="005B0E4C" w:rsidRDefault="005B0E4C" w:rsidP="001E2CFE">
            <w:pPr>
              <w:spacing w:line="360" w:lineRule="auto"/>
              <w:jc w:val="center"/>
              <w:rPr>
                <w:rFonts w:ascii="Calibri" w:hAnsi="Calibri" w:cs="Calibri"/>
                <w:b/>
                <w:bCs/>
                <w:sz w:val="22"/>
                <w:szCs w:val="22"/>
              </w:rPr>
            </w:pPr>
            <w:r>
              <w:rPr>
                <w:rFonts w:ascii="Calibri" w:hAnsi="Calibri" w:cs="Calibri"/>
                <w:b/>
                <w:bCs/>
                <w:sz w:val="22"/>
                <w:szCs w:val="22"/>
              </w:rPr>
              <w:t>HS2</w:t>
            </w:r>
          </w:p>
        </w:tc>
        <w:tc>
          <w:tcPr>
            <w:tcW w:w="1035" w:type="dxa"/>
          </w:tcPr>
          <w:p w14:paraId="5B4B9A30" w14:textId="77777777" w:rsidR="005B0E4C" w:rsidRDefault="005B0E4C" w:rsidP="001E2CFE">
            <w:pPr>
              <w:spacing w:line="360" w:lineRule="auto"/>
              <w:jc w:val="center"/>
              <w:rPr>
                <w:rFonts w:ascii="Calibri" w:hAnsi="Calibri" w:cs="Calibri"/>
                <w:b/>
                <w:bCs/>
                <w:sz w:val="22"/>
                <w:szCs w:val="22"/>
              </w:rPr>
            </w:pPr>
            <w:r>
              <w:rPr>
                <w:rFonts w:ascii="Calibri" w:hAnsi="Calibri" w:cs="Calibri"/>
                <w:b/>
                <w:bCs/>
                <w:sz w:val="22"/>
                <w:szCs w:val="22"/>
              </w:rPr>
              <w:t>ΔRCA</w:t>
            </w:r>
          </w:p>
        </w:tc>
        <w:tc>
          <w:tcPr>
            <w:tcW w:w="1035" w:type="dxa"/>
          </w:tcPr>
          <w:p w14:paraId="7E671CE5" w14:textId="77777777" w:rsidR="005B0E4C" w:rsidRDefault="005B0E4C" w:rsidP="001E2CFE">
            <w:pPr>
              <w:spacing w:line="360" w:lineRule="auto"/>
              <w:jc w:val="center"/>
              <w:rPr>
                <w:rFonts w:ascii="Calibri" w:hAnsi="Calibri" w:cs="Calibri"/>
                <w:b/>
                <w:bCs/>
                <w:sz w:val="22"/>
                <w:szCs w:val="22"/>
              </w:rPr>
            </w:pPr>
            <w:r>
              <w:rPr>
                <w:rFonts w:ascii="Calibri" w:hAnsi="Calibri" w:cs="Calibri"/>
                <w:b/>
                <w:bCs/>
                <w:sz w:val="22"/>
                <w:szCs w:val="22"/>
              </w:rPr>
              <w:t>HS2</w:t>
            </w:r>
          </w:p>
        </w:tc>
        <w:tc>
          <w:tcPr>
            <w:tcW w:w="1035" w:type="dxa"/>
          </w:tcPr>
          <w:p w14:paraId="54CC735A" w14:textId="77777777" w:rsidR="005B0E4C" w:rsidRDefault="005B0E4C" w:rsidP="001E2CFE">
            <w:pPr>
              <w:spacing w:line="360" w:lineRule="auto"/>
              <w:jc w:val="center"/>
              <w:rPr>
                <w:rFonts w:ascii="Calibri" w:hAnsi="Calibri" w:cs="Calibri"/>
                <w:b/>
                <w:bCs/>
                <w:sz w:val="22"/>
                <w:szCs w:val="22"/>
              </w:rPr>
            </w:pPr>
            <w:r>
              <w:rPr>
                <w:rFonts w:ascii="Calibri" w:hAnsi="Calibri" w:cs="Calibri"/>
                <w:b/>
                <w:bCs/>
                <w:sz w:val="22"/>
                <w:szCs w:val="22"/>
              </w:rPr>
              <w:t>ΔRCA</w:t>
            </w:r>
          </w:p>
        </w:tc>
      </w:tr>
      <w:tr w:rsidR="005B0E4C" w14:paraId="16B00552" w14:textId="77777777" w:rsidTr="001E2CFE">
        <w:tc>
          <w:tcPr>
            <w:tcW w:w="1035" w:type="dxa"/>
          </w:tcPr>
          <w:p w14:paraId="317904B3" w14:textId="77777777" w:rsidR="005B0E4C" w:rsidRPr="008E0218" w:rsidRDefault="005B0E4C" w:rsidP="001E2CFE">
            <w:pPr>
              <w:spacing w:line="360" w:lineRule="auto"/>
              <w:jc w:val="center"/>
              <w:rPr>
                <w:rFonts w:ascii="Calibri" w:hAnsi="Calibri" w:cs="Calibri"/>
                <w:sz w:val="22"/>
                <w:szCs w:val="22"/>
              </w:rPr>
            </w:pPr>
            <w:r w:rsidRPr="008E0218">
              <w:rPr>
                <w:rFonts w:ascii="Calibri" w:hAnsi="Calibri" w:cs="Calibri"/>
                <w:sz w:val="22"/>
                <w:szCs w:val="22"/>
              </w:rPr>
              <w:t>62</w:t>
            </w:r>
          </w:p>
        </w:tc>
        <w:tc>
          <w:tcPr>
            <w:tcW w:w="1035" w:type="dxa"/>
          </w:tcPr>
          <w:p w14:paraId="0AB6054C" w14:textId="77777777" w:rsidR="005B0E4C" w:rsidRPr="008E0218" w:rsidRDefault="005B0E4C" w:rsidP="001E2CFE">
            <w:pPr>
              <w:spacing w:line="360" w:lineRule="auto"/>
              <w:jc w:val="center"/>
              <w:rPr>
                <w:rFonts w:ascii="Calibri" w:hAnsi="Calibri" w:cs="Calibri"/>
                <w:sz w:val="22"/>
                <w:szCs w:val="22"/>
              </w:rPr>
            </w:pPr>
            <w:r w:rsidRPr="008E0218">
              <w:rPr>
                <w:rFonts w:ascii="Calibri" w:hAnsi="Calibri" w:cs="Calibri"/>
                <w:sz w:val="22"/>
                <w:szCs w:val="22"/>
              </w:rPr>
              <w:t>1.764</w:t>
            </w:r>
          </w:p>
        </w:tc>
        <w:tc>
          <w:tcPr>
            <w:tcW w:w="1035" w:type="dxa"/>
          </w:tcPr>
          <w:p w14:paraId="03F5E5EB" w14:textId="77777777" w:rsidR="005B0E4C" w:rsidRPr="008E0218" w:rsidRDefault="005B0E4C" w:rsidP="001E2CFE">
            <w:pPr>
              <w:spacing w:line="360" w:lineRule="auto"/>
              <w:jc w:val="center"/>
              <w:rPr>
                <w:rFonts w:ascii="Calibri" w:hAnsi="Calibri" w:cs="Calibri"/>
                <w:sz w:val="22"/>
                <w:szCs w:val="22"/>
              </w:rPr>
            </w:pPr>
            <w:r w:rsidRPr="008E0218">
              <w:rPr>
                <w:rFonts w:ascii="Calibri" w:hAnsi="Calibri" w:cs="Calibri"/>
                <w:sz w:val="22"/>
                <w:szCs w:val="22"/>
              </w:rPr>
              <w:t>51</w:t>
            </w:r>
          </w:p>
        </w:tc>
        <w:tc>
          <w:tcPr>
            <w:tcW w:w="1035" w:type="dxa"/>
          </w:tcPr>
          <w:p w14:paraId="0B82096B" w14:textId="77777777" w:rsidR="005B0E4C" w:rsidRPr="008E0218" w:rsidRDefault="005B0E4C" w:rsidP="001E2CFE">
            <w:pPr>
              <w:spacing w:line="360" w:lineRule="auto"/>
              <w:jc w:val="center"/>
              <w:rPr>
                <w:rFonts w:ascii="Calibri" w:hAnsi="Calibri" w:cs="Calibri"/>
                <w:sz w:val="22"/>
                <w:szCs w:val="22"/>
              </w:rPr>
            </w:pPr>
            <w:r w:rsidRPr="008E0218">
              <w:rPr>
                <w:rFonts w:ascii="Calibri" w:hAnsi="Calibri" w:cs="Calibri"/>
                <w:sz w:val="22"/>
                <w:szCs w:val="22"/>
              </w:rPr>
              <w:t>-1.379</w:t>
            </w:r>
          </w:p>
        </w:tc>
      </w:tr>
      <w:tr w:rsidR="005B0E4C" w14:paraId="7C813E38" w14:textId="77777777" w:rsidTr="001E2CFE">
        <w:tc>
          <w:tcPr>
            <w:tcW w:w="1035" w:type="dxa"/>
          </w:tcPr>
          <w:p w14:paraId="79C8DE25" w14:textId="77777777" w:rsidR="005B0E4C" w:rsidRPr="008E0218" w:rsidRDefault="005B0E4C" w:rsidP="001E2CFE">
            <w:pPr>
              <w:spacing w:line="360" w:lineRule="auto"/>
              <w:jc w:val="center"/>
              <w:rPr>
                <w:rFonts w:ascii="Calibri" w:hAnsi="Calibri" w:cs="Calibri"/>
                <w:sz w:val="22"/>
                <w:szCs w:val="22"/>
              </w:rPr>
            </w:pPr>
            <w:r w:rsidRPr="008E0218">
              <w:rPr>
                <w:rFonts w:ascii="Calibri" w:hAnsi="Calibri" w:cs="Calibri"/>
                <w:sz w:val="22"/>
                <w:szCs w:val="22"/>
              </w:rPr>
              <w:t>61</w:t>
            </w:r>
          </w:p>
        </w:tc>
        <w:tc>
          <w:tcPr>
            <w:tcW w:w="1035" w:type="dxa"/>
          </w:tcPr>
          <w:p w14:paraId="29FF3CF6" w14:textId="77777777" w:rsidR="005B0E4C" w:rsidRPr="008E0218" w:rsidRDefault="005B0E4C" w:rsidP="001E2CFE">
            <w:pPr>
              <w:spacing w:line="360" w:lineRule="auto"/>
              <w:jc w:val="center"/>
              <w:rPr>
                <w:rFonts w:ascii="Calibri" w:hAnsi="Calibri" w:cs="Calibri"/>
                <w:sz w:val="22"/>
                <w:szCs w:val="22"/>
              </w:rPr>
            </w:pPr>
            <w:r w:rsidRPr="008E0218">
              <w:rPr>
                <w:rFonts w:ascii="Calibri" w:hAnsi="Calibri" w:cs="Calibri"/>
                <w:sz w:val="22"/>
                <w:szCs w:val="22"/>
              </w:rPr>
              <w:t>1.382</w:t>
            </w:r>
          </w:p>
        </w:tc>
        <w:tc>
          <w:tcPr>
            <w:tcW w:w="1035" w:type="dxa"/>
          </w:tcPr>
          <w:p w14:paraId="3FD2653C" w14:textId="77777777" w:rsidR="005B0E4C" w:rsidRPr="008E0218" w:rsidRDefault="005B0E4C" w:rsidP="001E2CFE">
            <w:pPr>
              <w:spacing w:line="360" w:lineRule="auto"/>
              <w:jc w:val="center"/>
              <w:rPr>
                <w:rFonts w:ascii="Calibri" w:hAnsi="Calibri" w:cs="Calibri"/>
                <w:sz w:val="22"/>
                <w:szCs w:val="22"/>
              </w:rPr>
            </w:pPr>
            <w:r w:rsidRPr="008E0218">
              <w:rPr>
                <w:rFonts w:ascii="Calibri" w:hAnsi="Calibri" w:cs="Calibri"/>
                <w:sz w:val="22"/>
                <w:szCs w:val="22"/>
              </w:rPr>
              <w:t>52</w:t>
            </w:r>
          </w:p>
        </w:tc>
        <w:tc>
          <w:tcPr>
            <w:tcW w:w="1035" w:type="dxa"/>
          </w:tcPr>
          <w:p w14:paraId="05828DA9" w14:textId="77777777" w:rsidR="005B0E4C" w:rsidRPr="008E0218" w:rsidRDefault="005B0E4C" w:rsidP="001E2CFE">
            <w:pPr>
              <w:spacing w:line="360" w:lineRule="auto"/>
              <w:jc w:val="center"/>
              <w:rPr>
                <w:rFonts w:ascii="Calibri" w:hAnsi="Calibri" w:cs="Calibri"/>
                <w:sz w:val="22"/>
                <w:szCs w:val="22"/>
              </w:rPr>
            </w:pPr>
            <w:r w:rsidRPr="008E0218">
              <w:rPr>
                <w:rFonts w:ascii="Calibri" w:hAnsi="Calibri" w:cs="Calibri"/>
                <w:sz w:val="22"/>
                <w:szCs w:val="22"/>
              </w:rPr>
              <w:t>-1.419</w:t>
            </w:r>
          </w:p>
        </w:tc>
      </w:tr>
      <w:tr w:rsidR="005B0E4C" w14:paraId="5BB41A83" w14:textId="77777777" w:rsidTr="001E2CFE">
        <w:tc>
          <w:tcPr>
            <w:tcW w:w="1035" w:type="dxa"/>
          </w:tcPr>
          <w:p w14:paraId="053CE288" w14:textId="77777777" w:rsidR="005B0E4C" w:rsidRPr="008E0218" w:rsidRDefault="005B0E4C" w:rsidP="001E2CFE">
            <w:pPr>
              <w:spacing w:line="360" w:lineRule="auto"/>
              <w:jc w:val="center"/>
              <w:rPr>
                <w:rFonts w:ascii="Calibri" w:hAnsi="Calibri" w:cs="Calibri"/>
                <w:sz w:val="22"/>
                <w:szCs w:val="22"/>
              </w:rPr>
            </w:pPr>
            <w:r w:rsidRPr="008E0218">
              <w:rPr>
                <w:rFonts w:ascii="Calibri" w:hAnsi="Calibri" w:cs="Calibri"/>
                <w:sz w:val="22"/>
                <w:szCs w:val="22"/>
              </w:rPr>
              <w:t>1</w:t>
            </w:r>
          </w:p>
        </w:tc>
        <w:tc>
          <w:tcPr>
            <w:tcW w:w="1035" w:type="dxa"/>
          </w:tcPr>
          <w:p w14:paraId="0BCB3C5F" w14:textId="77777777" w:rsidR="005B0E4C" w:rsidRPr="008E0218" w:rsidRDefault="005B0E4C" w:rsidP="001E2CFE">
            <w:pPr>
              <w:spacing w:line="360" w:lineRule="auto"/>
              <w:jc w:val="center"/>
              <w:rPr>
                <w:rFonts w:ascii="Calibri" w:hAnsi="Calibri" w:cs="Calibri"/>
                <w:sz w:val="22"/>
                <w:szCs w:val="22"/>
              </w:rPr>
            </w:pPr>
            <w:r w:rsidRPr="008E0218">
              <w:rPr>
                <w:rFonts w:ascii="Calibri" w:hAnsi="Calibri" w:cs="Calibri"/>
                <w:sz w:val="22"/>
                <w:szCs w:val="22"/>
              </w:rPr>
              <w:t>1.372</w:t>
            </w:r>
          </w:p>
        </w:tc>
        <w:tc>
          <w:tcPr>
            <w:tcW w:w="1035" w:type="dxa"/>
          </w:tcPr>
          <w:p w14:paraId="0ED7CE80" w14:textId="77777777" w:rsidR="005B0E4C" w:rsidRPr="008E0218" w:rsidRDefault="005B0E4C" w:rsidP="001E2CFE">
            <w:pPr>
              <w:spacing w:line="360" w:lineRule="auto"/>
              <w:jc w:val="center"/>
              <w:rPr>
                <w:rFonts w:ascii="Calibri" w:hAnsi="Calibri" w:cs="Calibri"/>
                <w:sz w:val="22"/>
                <w:szCs w:val="22"/>
              </w:rPr>
            </w:pPr>
            <w:r w:rsidRPr="008E0218">
              <w:rPr>
                <w:rFonts w:ascii="Calibri" w:hAnsi="Calibri" w:cs="Calibri"/>
                <w:sz w:val="22"/>
                <w:szCs w:val="22"/>
              </w:rPr>
              <w:t>30</w:t>
            </w:r>
          </w:p>
        </w:tc>
        <w:tc>
          <w:tcPr>
            <w:tcW w:w="1035" w:type="dxa"/>
          </w:tcPr>
          <w:p w14:paraId="0819AAA4" w14:textId="77777777" w:rsidR="005B0E4C" w:rsidRPr="008E0218" w:rsidRDefault="005B0E4C" w:rsidP="001E2CFE">
            <w:pPr>
              <w:spacing w:line="360" w:lineRule="auto"/>
              <w:jc w:val="center"/>
              <w:rPr>
                <w:rFonts w:ascii="Calibri" w:hAnsi="Calibri" w:cs="Calibri"/>
                <w:sz w:val="22"/>
                <w:szCs w:val="22"/>
              </w:rPr>
            </w:pPr>
            <w:r w:rsidRPr="008E0218">
              <w:rPr>
                <w:rFonts w:ascii="Calibri" w:hAnsi="Calibri" w:cs="Calibri"/>
                <w:sz w:val="22"/>
                <w:szCs w:val="22"/>
              </w:rPr>
              <w:t>-1.435</w:t>
            </w:r>
          </w:p>
        </w:tc>
      </w:tr>
      <w:tr w:rsidR="005B0E4C" w14:paraId="1445842B" w14:textId="77777777" w:rsidTr="001E2CFE">
        <w:tc>
          <w:tcPr>
            <w:tcW w:w="1035" w:type="dxa"/>
          </w:tcPr>
          <w:p w14:paraId="2769F1A0" w14:textId="77777777" w:rsidR="005B0E4C" w:rsidRPr="008E0218" w:rsidRDefault="005B0E4C" w:rsidP="001E2CFE">
            <w:pPr>
              <w:spacing w:line="360" w:lineRule="auto"/>
              <w:jc w:val="center"/>
              <w:rPr>
                <w:rFonts w:ascii="Calibri" w:hAnsi="Calibri" w:cs="Calibri"/>
                <w:sz w:val="22"/>
                <w:szCs w:val="22"/>
              </w:rPr>
            </w:pPr>
            <w:r w:rsidRPr="008E0218">
              <w:rPr>
                <w:rFonts w:ascii="Calibri" w:hAnsi="Calibri" w:cs="Calibri"/>
                <w:sz w:val="22"/>
                <w:szCs w:val="22"/>
              </w:rPr>
              <w:t>24</w:t>
            </w:r>
          </w:p>
        </w:tc>
        <w:tc>
          <w:tcPr>
            <w:tcW w:w="1035" w:type="dxa"/>
          </w:tcPr>
          <w:p w14:paraId="26675F64" w14:textId="77777777" w:rsidR="005B0E4C" w:rsidRPr="008E0218" w:rsidRDefault="005B0E4C" w:rsidP="001E2CFE">
            <w:pPr>
              <w:spacing w:line="360" w:lineRule="auto"/>
              <w:jc w:val="center"/>
              <w:rPr>
                <w:rFonts w:ascii="Calibri" w:hAnsi="Calibri" w:cs="Calibri"/>
                <w:sz w:val="22"/>
                <w:szCs w:val="22"/>
              </w:rPr>
            </w:pPr>
            <w:r w:rsidRPr="008E0218">
              <w:rPr>
                <w:rFonts w:ascii="Calibri" w:hAnsi="Calibri" w:cs="Calibri"/>
                <w:sz w:val="22"/>
                <w:szCs w:val="22"/>
              </w:rPr>
              <w:t>1.302</w:t>
            </w:r>
          </w:p>
        </w:tc>
        <w:tc>
          <w:tcPr>
            <w:tcW w:w="1035" w:type="dxa"/>
          </w:tcPr>
          <w:p w14:paraId="66C3581E" w14:textId="77777777" w:rsidR="005B0E4C" w:rsidRPr="008E0218" w:rsidRDefault="005B0E4C" w:rsidP="001E2CFE">
            <w:pPr>
              <w:spacing w:line="360" w:lineRule="auto"/>
              <w:jc w:val="center"/>
              <w:rPr>
                <w:rFonts w:ascii="Calibri" w:hAnsi="Calibri" w:cs="Calibri"/>
                <w:sz w:val="22"/>
                <w:szCs w:val="22"/>
              </w:rPr>
            </w:pPr>
            <w:r w:rsidRPr="008E0218">
              <w:rPr>
                <w:rFonts w:ascii="Calibri" w:hAnsi="Calibri" w:cs="Calibri"/>
                <w:sz w:val="22"/>
                <w:szCs w:val="22"/>
              </w:rPr>
              <w:t>59</w:t>
            </w:r>
          </w:p>
        </w:tc>
        <w:tc>
          <w:tcPr>
            <w:tcW w:w="1035" w:type="dxa"/>
          </w:tcPr>
          <w:p w14:paraId="6F185A1A" w14:textId="77777777" w:rsidR="005B0E4C" w:rsidRPr="008E0218" w:rsidRDefault="005B0E4C" w:rsidP="001E2CFE">
            <w:pPr>
              <w:spacing w:line="360" w:lineRule="auto"/>
              <w:jc w:val="center"/>
              <w:rPr>
                <w:rFonts w:ascii="Calibri" w:hAnsi="Calibri" w:cs="Calibri"/>
                <w:sz w:val="22"/>
                <w:szCs w:val="22"/>
              </w:rPr>
            </w:pPr>
            <w:r w:rsidRPr="008E0218">
              <w:rPr>
                <w:rFonts w:ascii="Calibri" w:hAnsi="Calibri" w:cs="Calibri"/>
                <w:sz w:val="22"/>
                <w:szCs w:val="22"/>
              </w:rPr>
              <w:t>-1.676</w:t>
            </w:r>
          </w:p>
        </w:tc>
      </w:tr>
      <w:tr w:rsidR="005B0E4C" w14:paraId="74C02560" w14:textId="77777777" w:rsidTr="001E2CFE">
        <w:tc>
          <w:tcPr>
            <w:tcW w:w="1035" w:type="dxa"/>
          </w:tcPr>
          <w:p w14:paraId="49EC2EAD" w14:textId="77777777" w:rsidR="005B0E4C" w:rsidRPr="008E0218" w:rsidRDefault="005B0E4C" w:rsidP="001E2CFE">
            <w:pPr>
              <w:spacing w:line="360" w:lineRule="auto"/>
              <w:jc w:val="center"/>
              <w:rPr>
                <w:rFonts w:ascii="Calibri" w:hAnsi="Calibri" w:cs="Calibri"/>
                <w:sz w:val="22"/>
                <w:szCs w:val="22"/>
              </w:rPr>
            </w:pPr>
            <w:r w:rsidRPr="008E0218">
              <w:rPr>
                <w:rFonts w:ascii="Calibri" w:hAnsi="Calibri" w:cs="Calibri"/>
                <w:sz w:val="22"/>
                <w:szCs w:val="22"/>
              </w:rPr>
              <w:t>95</w:t>
            </w:r>
          </w:p>
        </w:tc>
        <w:tc>
          <w:tcPr>
            <w:tcW w:w="1035" w:type="dxa"/>
          </w:tcPr>
          <w:p w14:paraId="04C78083" w14:textId="77777777" w:rsidR="005B0E4C" w:rsidRPr="008E0218" w:rsidRDefault="005B0E4C" w:rsidP="001E2CFE">
            <w:pPr>
              <w:spacing w:line="360" w:lineRule="auto"/>
              <w:jc w:val="center"/>
              <w:rPr>
                <w:rFonts w:ascii="Calibri" w:hAnsi="Calibri" w:cs="Calibri"/>
                <w:sz w:val="22"/>
                <w:szCs w:val="22"/>
              </w:rPr>
            </w:pPr>
            <w:r w:rsidRPr="008E0218">
              <w:rPr>
                <w:rFonts w:ascii="Calibri" w:hAnsi="Calibri" w:cs="Calibri"/>
                <w:sz w:val="22"/>
                <w:szCs w:val="22"/>
              </w:rPr>
              <w:t>1.248</w:t>
            </w:r>
          </w:p>
        </w:tc>
        <w:tc>
          <w:tcPr>
            <w:tcW w:w="1035" w:type="dxa"/>
          </w:tcPr>
          <w:p w14:paraId="7499D703" w14:textId="77777777" w:rsidR="005B0E4C" w:rsidRPr="008E0218" w:rsidRDefault="005B0E4C" w:rsidP="001E2CFE">
            <w:pPr>
              <w:spacing w:line="360" w:lineRule="auto"/>
              <w:jc w:val="center"/>
              <w:rPr>
                <w:rFonts w:ascii="Calibri" w:hAnsi="Calibri" w:cs="Calibri"/>
                <w:sz w:val="22"/>
                <w:szCs w:val="22"/>
              </w:rPr>
            </w:pPr>
            <w:r w:rsidRPr="008E0218">
              <w:rPr>
                <w:rFonts w:ascii="Calibri" w:hAnsi="Calibri" w:cs="Calibri"/>
                <w:sz w:val="22"/>
                <w:szCs w:val="22"/>
              </w:rPr>
              <w:t>60</w:t>
            </w:r>
          </w:p>
        </w:tc>
        <w:tc>
          <w:tcPr>
            <w:tcW w:w="1035" w:type="dxa"/>
          </w:tcPr>
          <w:p w14:paraId="4CDA7B7C" w14:textId="77777777" w:rsidR="005B0E4C" w:rsidRPr="008E0218" w:rsidRDefault="005B0E4C" w:rsidP="001E2CFE">
            <w:pPr>
              <w:spacing w:line="360" w:lineRule="auto"/>
              <w:jc w:val="center"/>
              <w:rPr>
                <w:rFonts w:ascii="Calibri" w:hAnsi="Calibri" w:cs="Calibri"/>
                <w:sz w:val="22"/>
                <w:szCs w:val="22"/>
              </w:rPr>
            </w:pPr>
            <w:r w:rsidRPr="008E0218">
              <w:rPr>
                <w:rFonts w:ascii="Calibri" w:hAnsi="Calibri" w:cs="Calibri"/>
                <w:sz w:val="22"/>
                <w:szCs w:val="22"/>
              </w:rPr>
              <w:t>-1.783</w:t>
            </w:r>
          </w:p>
        </w:tc>
      </w:tr>
    </w:tbl>
    <w:p w14:paraId="0A66D235" w14:textId="77777777" w:rsidR="005B0E4C" w:rsidRDefault="005B0E4C" w:rsidP="005B0E4C">
      <w:pPr>
        <w:spacing w:after="0" w:line="360" w:lineRule="auto"/>
        <w:rPr>
          <w:rFonts w:ascii="Calibri" w:hAnsi="Calibri" w:cs="Calibri"/>
          <w:b/>
          <w:bCs/>
          <w:sz w:val="22"/>
          <w:szCs w:val="22"/>
        </w:rPr>
      </w:pPr>
    </w:p>
    <w:p w14:paraId="26A71D56" w14:textId="2ED45294" w:rsidR="00255DB1" w:rsidRDefault="005B0E4C" w:rsidP="000B20DE">
      <w:pPr>
        <w:spacing w:after="0" w:line="360" w:lineRule="auto"/>
        <w:rPr>
          <w:rFonts w:ascii="Calibri" w:hAnsi="Calibri" w:cs="Calibri"/>
          <w:sz w:val="22"/>
          <w:szCs w:val="22"/>
        </w:rPr>
      </w:pPr>
      <w:r>
        <w:rPr>
          <w:rFonts w:ascii="Calibri" w:hAnsi="Calibri" w:cs="Calibri"/>
          <w:sz w:val="22"/>
          <w:szCs w:val="22"/>
        </w:rPr>
        <w:t>Figure 2 suggests a degree of ‘clustering’ in which secto</w:t>
      </w:r>
      <w:r w:rsidR="00C729BE">
        <w:rPr>
          <w:rFonts w:ascii="Calibri" w:hAnsi="Calibri" w:cs="Calibri"/>
          <w:sz w:val="22"/>
          <w:szCs w:val="22"/>
        </w:rPr>
        <w:t xml:space="preserve">rs are gaining or losing competitiveness. </w:t>
      </w:r>
      <w:r w:rsidR="00C21252">
        <w:rPr>
          <w:rFonts w:ascii="Calibri" w:hAnsi="Calibri" w:cs="Calibri"/>
          <w:sz w:val="22"/>
          <w:szCs w:val="22"/>
        </w:rPr>
        <w:t xml:space="preserve">In sectors 1-24 (most agricultural goods), there is less of a consistent pattern, showing that in agriculture, </w:t>
      </w:r>
      <w:r w:rsidR="00C21252">
        <w:rPr>
          <w:rFonts w:ascii="Calibri" w:hAnsi="Calibri" w:cs="Calibri"/>
          <w:sz w:val="22"/>
          <w:szCs w:val="22"/>
        </w:rPr>
        <w:lastRenderedPageBreak/>
        <w:t xml:space="preserve">some sectors gained competitiveness while others declined. Meanwhile, in goods coded as HS 25-60, which cover many natural materials and some finished goods, the majority of sectors declined in competitiveness. In contrast, in goods covered by HS codes 61-99, which cover metals and industrial goods along with finished goods often more dependent on industrial manufacturing, most of these sectors saw gains in revealed comparative advantage. Therefore, the trends in Figure 2 further suggest a shift towards more industrial capacity between 2000 and 2021 in the Polish economy. </w:t>
      </w:r>
    </w:p>
    <w:p w14:paraId="1E36B1EC" w14:textId="77777777" w:rsidR="00255DB1" w:rsidRDefault="00255DB1" w:rsidP="000B20DE">
      <w:pPr>
        <w:spacing w:after="0" w:line="360" w:lineRule="auto"/>
        <w:rPr>
          <w:rFonts w:ascii="Calibri" w:hAnsi="Calibri" w:cs="Calibri"/>
          <w:sz w:val="22"/>
          <w:szCs w:val="22"/>
        </w:rPr>
      </w:pPr>
    </w:p>
    <w:p w14:paraId="104542E5" w14:textId="0F2C51B3" w:rsidR="008E0218" w:rsidRDefault="008E0218" w:rsidP="008E0218">
      <w:pPr>
        <w:spacing w:after="0" w:line="360" w:lineRule="auto"/>
        <w:jc w:val="center"/>
        <w:rPr>
          <w:rFonts w:ascii="Calibri" w:hAnsi="Calibri" w:cs="Calibri"/>
          <w:b/>
          <w:bCs/>
          <w:sz w:val="22"/>
          <w:szCs w:val="22"/>
        </w:rPr>
      </w:pPr>
      <w:r w:rsidRPr="008E0218">
        <w:rPr>
          <w:rFonts w:ascii="Calibri" w:hAnsi="Calibri" w:cs="Calibri"/>
          <w:b/>
          <w:bCs/>
          <w:sz w:val="22"/>
          <w:szCs w:val="22"/>
        </w:rPr>
        <w:drawing>
          <wp:inline distT="0" distB="0" distL="0" distR="0" wp14:anchorId="3246F72D" wp14:editId="47B98442">
            <wp:extent cx="3988679" cy="29527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991788" cy="2955052"/>
                    </a:xfrm>
                    <a:prstGeom prst="rect">
                      <a:avLst/>
                    </a:prstGeom>
                  </pic:spPr>
                </pic:pic>
              </a:graphicData>
            </a:graphic>
          </wp:inline>
        </w:drawing>
      </w:r>
    </w:p>
    <w:p w14:paraId="73C00100" w14:textId="6E865776" w:rsidR="00C729BE" w:rsidRPr="00C729BE" w:rsidRDefault="00C729BE" w:rsidP="008E0218">
      <w:pPr>
        <w:spacing w:after="0" w:line="360" w:lineRule="auto"/>
        <w:jc w:val="center"/>
        <w:rPr>
          <w:rFonts w:ascii="Calibri" w:hAnsi="Calibri" w:cs="Calibri"/>
          <w:b/>
          <w:bCs/>
          <w:sz w:val="18"/>
          <w:szCs w:val="18"/>
        </w:rPr>
      </w:pPr>
      <w:r>
        <w:rPr>
          <w:rFonts w:ascii="Calibri" w:hAnsi="Calibri" w:cs="Calibri"/>
          <w:b/>
          <w:bCs/>
          <w:sz w:val="18"/>
          <w:szCs w:val="18"/>
        </w:rPr>
        <w:t>Figure 2: Change in RCA Between 2000 and 2021 by Sector</w:t>
      </w:r>
    </w:p>
    <w:p w14:paraId="1FACBF8F" w14:textId="47E03380" w:rsidR="000B20DE" w:rsidRDefault="000B20DE" w:rsidP="000B20DE">
      <w:pPr>
        <w:spacing w:after="0" w:line="360" w:lineRule="auto"/>
        <w:rPr>
          <w:rFonts w:ascii="Calibri" w:hAnsi="Calibri" w:cs="Calibri"/>
          <w:sz w:val="22"/>
          <w:szCs w:val="22"/>
        </w:rPr>
      </w:pPr>
      <w:r>
        <w:rPr>
          <w:rFonts w:ascii="Calibri" w:hAnsi="Calibri" w:cs="Calibri"/>
          <w:b/>
          <w:bCs/>
          <w:sz w:val="22"/>
          <w:szCs w:val="22"/>
        </w:rPr>
        <w:t>Imagining Global Trade Without the WTO</w:t>
      </w:r>
    </w:p>
    <w:p w14:paraId="18356ACD" w14:textId="352BC013" w:rsidR="00064125" w:rsidRPr="00064125" w:rsidRDefault="00864070" w:rsidP="000B20DE">
      <w:pPr>
        <w:spacing w:after="0" w:line="360" w:lineRule="auto"/>
        <w:rPr>
          <w:rFonts w:ascii="Calibri" w:hAnsi="Calibri" w:cs="Calibri"/>
          <w:sz w:val="22"/>
          <w:szCs w:val="22"/>
        </w:rPr>
      </w:pPr>
      <w:r>
        <w:rPr>
          <w:rFonts w:ascii="Calibri" w:hAnsi="Calibri" w:cs="Calibri"/>
          <w:sz w:val="22"/>
          <w:szCs w:val="22"/>
        </w:rPr>
        <w:t xml:space="preserve">The gravity model regression performed for Poland’s trade relationships in 2020 aligns with the key findings in the gravity model. For a 1% increase in the distance between Poland and its trading partners, trade values decline 1.428%, and for a 1% increase in the destination partner GDP, trade values increase 0.960%. Both results are statistically significant. These are also the only variables in the model shown in Figure 3 that are statistically significant (common language shows as significant, but no other country in the world uses Polish as its national language). </w:t>
      </w:r>
      <w:r w:rsidR="001F7676">
        <w:rPr>
          <w:rFonts w:ascii="Calibri" w:hAnsi="Calibri" w:cs="Calibri"/>
          <w:sz w:val="22"/>
          <w:szCs w:val="22"/>
        </w:rPr>
        <w:t xml:space="preserve">The regression model suggests that the destination trading partner being a member of the WTO correlates with a 105.32% higher volume of trade between Poland and that partner. However, this result is not statistically significant, making it difficult to predict the effects that WTO dissolution may have on Poland’s trade relationships. Interestingly, the coefficient for the variable corresponding to whether the destination partner also being an EU member is negative, </w:t>
      </w:r>
      <w:r w:rsidR="001F7676">
        <w:rPr>
          <w:rFonts w:ascii="Calibri" w:hAnsi="Calibri" w:cs="Calibri"/>
          <w:sz w:val="22"/>
          <w:szCs w:val="22"/>
        </w:rPr>
        <w:lastRenderedPageBreak/>
        <w:t xml:space="preserve">which is somewhat unexpected for a trading bloc like the EU. However, the result is not statistically significant. </w:t>
      </w:r>
    </w:p>
    <w:p w14:paraId="65760E6C" w14:textId="58BCEBA6" w:rsidR="000B20DE" w:rsidRDefault="00064125" w:rsidP="00064125">
      <w:pPr>
        <w:spacing w:after="0" w:line="360" w:lineRule="auto"/>
        <w:jc w:val="center"/>
        <w:rPr>
          <w:rFonts w:ascii="Calibri" w:hAnsi="Calibri" w:cs="Calibri"/>
          <w:b/>
          <w:bCs/>
          <w:sz w:val="22"/>
          <w:szCs w:val="22"/>
        </w:rPr>
      </w:pPr>
      <w:r w:rsidRPr="00064125">
        <w:rPr>
          <w:rFonts w:ascii="Calibri" w:hAnsi="Calibri" w:cs="Calibri"/>
          <w:b/>
          <w:bCs/>
          <w:sz w:val="22"/>
          <w:szCs w:val="22"/>
        </w:rPr>
        <w:drawing>
          <wp:inline distT="0" distB="0" distL="0" distR="0" wp14:anchorId="62A92FC5" wp14:editId="6DEA2B41">
            <wp:extent cx="3123834" cy="6115050"/>
            <wp:effectExtent l="0" t="0" r="63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138586" cy="6143928"/>
                    </a:xfrm>
                    <a:prstGeom prst="rect">
                      <a:avLst/>
                    </a:prstGeom>
                  </pic:spPr>
                </pic:pic>
              </a:graphicData>
            </a:graphic>
          </wp:inline>
        </w:drawing>
      </w:r>
    </w:p>
    <w:p w14:paraId="741C68A9" w14:textId="27D81700" w:rsidR="00064125" w:rsidRPr="00064125" w:rsidRDefault="00064125" w:rsidP="00064125">
      <w:pPr>
        <w:spacing w:after="0" w:line="360" w:lineRule="auto"/>
        <w:jc w:val="center"/>
        <w:rPr>
          <w:rFonts w:ascii="Calibri" w:hAnsi="Calibri" w:cs="Calibri"/>
          <w:b/>
          <w:bCs/>
          <w:sz w:val="18"/>
          <w:szCs w:val="18"/>
        </w:rPr>
      </w:pPr>
      <w:r>
        <w:rPr>
          <w:rFonts w:ascii="Calibri" w:hAnsi="Calibri" w:cs="Calibri"/>
          <w:b/>
          <w:bCs/>
          <w:sz w:val="18"/>
          <w:szCs w:val="18"/>
        </w:rPr>
        <w:t>Figure 3: Gravity Model for Poland’s Trade, 2020 Data</w:t>
      </w:r>
    </w:p>
    <w:p w14:paraId="0DA1AC66" w14:textId="05F65A31" w:rsidR="000B20DE" w:rsidRDefault="000B20DE" w:rsidP="000B20DE">
      <w:pPr>
        <w:spacing w:after="0" w:line="360" w:lineRule="auto"/>
        <w:rPr>
          <w:rFonts w:ascii="Calibri" w:hAnsi="Calibri" w:cs="Calibri"/>
          <w:b/>
          <w:bCs/>
          <w:sz w:val="22"/>
          <w:szCs w:val="22"/>
        </w:rPr>
      </w:pPr>
      <w:r>
        <w:rPr>
          <w:rFonts w:ascii="Calibri" w:hAnsi="Calibri" w:cs="Calibri"/>
          <w:b/>
          <w:bCs/>
          <w:sz w:val="22"/>
          <w:szCs w:val="22"/>
        </w:rPr>
        <w:t>Barriers to Trade</w:t>
      </w:r>
    </w:p>
    <w:p w14:paraId="7EE58FF8" w14:textId="09A5E0E9" w:rsidR="000B20DE" w:rsidRPr="001F7676" w:rsidRDefault="001F7676" w:rsidP="000B20DE">
      <w:pPr>
        <w:spacing w:after="0" w:line="360" w:lineRule="auto"/>
        <w:rPr>
          <w:rFonts w:ascii="Calibri" w:hAnsi="Calibri" w:cs="Calibri"/>
          <w:sz w:val="22"/>
          <w:szCs w:val="22"/>
        </w:rPr>
      </w:pPr>
      <w:r>
        <w:rPr>
          <w:rFonts w:ascii="Calibri" w:hAnsi="Calibri" w:cs="Calibri"/>
          <w:sz w:val="22"/>
          <w:szCs w:val="22"/>
        </w:rPr>
        <w:t xml:space="preserve">In the absence of broader multilateral organizations like the WTO, Poland should look at strengthening its economic ties with its neighbors and regional partners. Economic blocs like the EU, which Poland is a member of, are normally intended to reduce frictions related to trade and economic activity. As previously noted, the fact that the gravity model predicts reduced trade volumes between Poland and </w:t>
      </w:r>
      <w:r>
        <w:rPr>
          <w:rFonts w:ascii="Calibri" w:hAnsi="Calibri" w:cs="Calibri"/>
          <w:sz w:val="22"/>
          <w:szCs w:val="22"/>
        </w:rPr>
        <w:lastRenderedPageBreak/>
        <w:t xml:space="preserve">other EU member states is interesting, and Poland should perhaps investigate this result further. Perhaps there may be structural barriers related to Poland’s relationship to other EU states that are currently preventing the theoretical benefits of membership in the EU from materializing for Poland. And insofar as having a common legal system is associated with a positive (although non-significant) effect on trade volume, Poland should </w:t>
      </w:r>
      <w:r w:rsidR="006B53C1">
        <w:rPr>
          <w:rFonts w:ascii="Calibri" w:hAnsi="Calibri" w:cs="Calibri"/>
          <w:sz w:val="22"/>
          <w:szCs w:val="22"/>
        </w:rPr>
        <w:t>investigate</w:t>
      </w:r>
      <w:r>
        <w:rPr>
          <w:rFonts w:ascii="Calibri" w:hAnsi="Calibri" w:cs="Calibri"/>
          <w:sz w:val="22"/>
          <w:szCs w:val="22"/>
        </w:rPr>
        <w:t xml:space="preserve"> reducing legal and administrative burdens related to trade with partners that may have more dissimilar legal systems. </w:t>
      </w:r>
    </w:p>
    <w:p w14:paraId="3B388B8C" w14:textId="2C57AB13" w:rsidR="000B20DE" w:rsidRPr="006B53C1" w:rsidRDefault="000B20DE" w:rsidP="000B20DE">
      <w:pPr>
        <w:spacing w:after="0" w:line="360" w:lineRule="auto"/>
        <w:rPr>
          <w:rFonts w:ascii="Calibri" w:hAnsi="Calibri" w:cs="Calibri"/>
          <w:sz w:val="22"/>
          <w:szCs w:val="22"/>
        </w:rPr>
      </w:pPr>
      <w:r>
        <w:rPr>
          <w:rFonts w:ascii="Calibri" w:hAnsi="Calibri" w:cs="Calibri"/>
          <w:b/>
          <w:bCs/>
          <w:sz w:val="22"/>
          <w:szCs w:val="22"/>
        </w:rPr>
        <w:t xml:space="preserve">Summary Discussion </w:t>
      </w:r>
      <w:r w:rsidR="006B53C1">
        <w:rPr>
          <w:rFonts w:ascii="Calibri" w:hAnsi="Calibri" w:cs="Calibri"/>
          <w:sz w:val="22"/>
          <w:szCs w:val="22"/>
        </w:rPr>
        <w:br/>
      </w:r>
      <w:r w:rsidR="00377F4A">
        <w:rPr>
          <w:rFonts w:ascii="Calibri" w:hAnsi="Calibri" w:cs="Calibri"/>
          <w:sz w:val="22"/>
          <w:szCs w:val="22"/>
        </w:rPr>
        <w:t xml:space="preserve">Poland’s economic growth over the last two decades is characterized by a shift towards more industrial production, which has only been accelerated by growing capital investment following EU membership in 2004. Developing a more robust industrial base may prove beneficial not just from an economic perspective, but also be valuable to Poland from a national security perspective given its position on the Eastern flank of NATO and the EU. </w:t>
      </w:r>
      <w:r w:rsidR="005D2FC0">
        <w:rPr>
          <w:rFonts w:ascii="Calibri" w:hAnsi="Calibri" w:cs="Calibri"/>
          <w:sz w:val="22"/>
          <w:szCs w:val="22"/>
        </w:rPr>
        <w:t xml:space="preserve">In addition to continuing leveraging its strengths in industrial sectors, Poland should evaluate its relationships with key partners in the region. Since the collapse of the Soviet Union, Poland has been one of the fastest growing economies in Central and Eastern Europe. However, in recent years, its relationship with international bodies like the EU has been rockier at times, which may also be preventing Poland from getting the most it can out of membership in multilateral institutions like the EU. </w:t>
      </w:r>
      <w:r w:rsidR="0024324D">
        <w:rPr>
          <w:rFonts w:ascii="Calibri" w:hAnsi="Calibri" w:cs="Calibri"/>
          <w:sz w:val="22"/>
          <w:szCs w:val="22"/>
        </w:rPr>
        <w:t xml:space="preserve">Therefore, Poland should look at bolstering such ties in the future. </w:t>
      </w:r>
    </w:p>
    <w:sectPr w:rsidR="000B20DE" w:rsidRPr="006B53C1">
      <w:head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F44459F" w14:textId="77777777" w:rsidR="0094503F" w:rsidRDefault="0094503F" w:rsidP="000B6639">
      <w:pPr>
        <w:spacing w:after="0" w:line="240" w:lineRule="auto"/>
      </w:pPr>
      <w:r>
        <w:separator/>
      </w:r>
    </w:p>
  </w:endnote>
  <w:endnote w:type="continuationSeparator" w:id="0">
    <w:p w14:paraId="4515099F" w14:textId="77777777" w:rsidR="0094503F" w:rsidRDefault="0094503F" w:rsidP="000B66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53A1DE7" w14:textId="77777777" w:rsidR="0094503F" w:rsidRDefault="0094503F" w:rsidP="000B6639">
      <w:pPr>
        <w:spacing w:after="0" w:line="240" w:lineRule="auto"/>
      </w:pPr>
      <w:r>
        <w:separator/>
      </w:r>
    </w:p>
  </w:footnote>
  <w:footnote w:type="continuationSeparator" w:id="0">
    <w:p w14:paraId="59CBBECA" w14:textId="77777777" w:rsidR="0094503F" w:rsidRDefault="0094503F" w:rsidP="000B663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Calibri" w:hAnsi="Calibri" w:cs="Calibri"/>
        <w:sz w:val="22"/>
        <w:szCs w:val="22"/>
      </w:rPr>
      <w:id w:val="-1132022271"/>
      <w:docPartObj>
        <w:docPartGallery w:val="Page Numbers (Top of Page)"/>
        <w:docPartUnique/>
      </w:docPartObj>
    </w:sdtPr>
    <w:sdtEndPr>
      <w:rPr>
        <w:noProof/>
      </w:rPr>
    </w:sdtEndPr>
    <w:sdtContent>
      <w:p w14:paraId="2A22F2F3" w14:textId="4D29FC2B" w:rsidR="000B6639" w:rsidRPr="000B6639" w:rsidRDefault="000B6639">
        <w:pPr>
          <w:pStyle w:val="Header"/>
          <w:jc w:val="right"/>
          <w:rPr>
            <w:rFonts w:ascii="Calibri" w:hAnsi="Calibri" w:cs="Calibri"/>
            <w:sz w:val="22"/>
            <w:szCs w:val="22"/>
          </w:rPr>
        </w:pPr>
        <w:r w:rsidRPr="000B6639">
          <w:rPr>
            <w:rFonts w:ascii="Calibri" w:hAnsi="Calibri" w:cs="Calibri"/>
            <w:sz w:val="22"/>
            <w:szCs w:val="22"/>
          </w:rPr>
          <w:t xml:space="preserve">Korlacki </w:t>
        </w:r>
        <w:r w:rsidRPr="000B6639">
          <w:rPr>
            <w:rFonts w:ascii="Calibri" w:hAnsi="Calibri" w:cs="Calibri"/>
            <w:sz w:val="22"/>
            <w:szCs w:val="22"/>
          </w:rPr>
          <w:fldChar w:fldCharType="begin"/>
        </w:r>
        <w:r w:rsidRPr="000B6639">
          <w:rPr>
            <w:rFonts w:ascii="Calibri" w:hAnsi="Calibri" w:cs="Calibri"/>
            <w:sz w:val="22"/>
            <w:szCs w:val="22"/>
          </w:rPr>
          <w:instrText xml:space="preserve"> PAGE   \* MERGEFORMAT </w:instrText>
        </w:r>
        <w:r w:rsidRPr="000B6639">
          <w:rPr>
            <w:rFonts w:ascii="Calibri" w:hAnsi="Calibri" w:cs="Calibri"/>
            <w:sz w:val="22"/>
            <w:szCs w:val="22"/>
          </w:rPr>
          <w:fldChar w:fldCharType="separate"/>
        </w:r>
        <w:r w:rsidRPr="000B6639">
          <w:rPr>
            <w:rFonts w:ascii="Calibri" w:hAnsi="Calibri" w:cs="Calibri"/>
            <w:noProof/>
            <w:sz w:val="22"/>
            <w:szCs w:val="22"/>
          </w:rPr>
          <w:t>2</w:t>
        </w:r>
        <w:r w:rsidRPr="000B6639">
          <w:rPr>
            <w:rFonts w:ascii="Calibri" w:hAnsi="Calibri" w:cs="Calibri"/>
            <w:noProof/>
            <w:sz w:val="22"/>
            <w:szCs w:val="22"/>
          </w:rPr>
          <w:fldChar w:fldCharType="end"/>
        </w:r>
      </w:p>
    </w:sdtContent>
  </w:sdt>
  <w:p w14:paraId="349BDE7A" w14:textId="77777777" w:rsidR="000B6639" w:rsidRPr="000B6639" w:rsidRDefault="000B6639">
    <w:pPr>
      <w:pStyle w:val="Header"/>
      <w:rPr>
        <w:rFonts w:ascii="Calibri" w:hAnsi="Calibri" w:cs="Calibri"/>
        <w:sz w:val="22"/>
        <w:szCs w:val="2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FC80CDD"/>
    <w:multiLevelType w:val="hybridMultilevel"/>
    <w:tmpl w:val="2D9C39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698470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20DE"/>
    <w:rsid w:val="0003061F"/>
    <w:rsid w:val="00064125"/>
    <w:rsid w:val="000B20DE"/>
    <w:rsid w:val="000B6639"/>
    <w:rsid w:val="001F7676"/>
    <w:rsid w:val="0024324D"/>
    <w:rsid w:val="00254722"/>
    <w:rsid w:val="00255DB1"/>
    <w:rsid w:val="002B5B55"/>
    <w:rsid w:val="00377F4A"/>
    <w:rsid w:val="00480B95"/>
    <w:rsid w:val="00570467"/>
    <w:rsid w:val="005914DA"/>
    <w:rsid w:val="005B0E4C"/>
    <w:rsid w:val="005D2FC0"/>
    <w:rsid w:val="006B53C1"/>
    <w:rsid w:val="008566F3"/>
    <w:rsid w:val="00864070"/>
    <w:rsid w:val="008E0218"/>
    <w:rsid w:val="0094503F"/>
    <w:rsid w:val="00AF15B8"/>
    <w:rsid w:val="00C21252"/>
    <w:rsid w:val="00C729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B73749"/>
  <w15:chartTrackingRefBased/>
  <w15:docId w15:val="{62087392-1177-4291-B46C-C220A78561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B20D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B20D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B20D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B20D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B20D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B20D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B20D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B20D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B20D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20D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B20D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B20D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B20D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B20D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B20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B20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B20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B20DE"/>
    <w:rPr>
      <w:rFonts w:eastAsiaTheme="majorEastAsia" w:cstheme="majorBidi"/>
      <w:color w:val="272727" w:themeColor="text1" w:themeTint="D8"/>
    </w:rPr>
  </w:style>
  <w:style w:type="paragraph" w:styleId="Title">
    <w:name w:val="Title"/>
    <w:basedOn w:val="Normal"/>
    <w:next w:val="Normal"/>
    <w:link w:val="TitleChar"/>
    <w:uiPriority w:val="10"/>
    <w:qFormat/>
    <w:rsid w:val="000B20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B20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B20D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B20D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B20DE"/>
    <w:pPr>
      <w:spacing w:before="160"/>
      <w:jc w:val="center"/>
    </w:pPr>
    <w:rPr>
      <w:i/>
      <w:iCs/>
      <w:color w:val="404040" w:themeColor="text1" w:themeTint="BF"/>
    </w:rPr>
  </w:style>
  <w:style w:type="character" w:customStyle="1" w:styleId="QuoteChar">
    <w:name w:val="Quote Char"/>
    <w:basedOn w:val="DefaultParagraphFont"/>
    <w:link w:val="Quote"/>
    <w:uiPriority w:val="29"/>
    <w:rsid w:val="000B20DE"/>
    <w:rPr>
      <w:i/>
      <w:iCs/>
      <w:color w:val="404040" w:themeColor="text1" w:themeTint="BF"/>
    </w:rPr>
  </w:style>
  <w:style w:type="paragraph" w:styleId="ListParagraph">
    <w:name w:val="List Paragraph"/>
    <w:basedOn w:val="Normal"/>
    <w:uiPriority w:val="34"/>
    <w:qFormat/>
    <w:rsid w:val="000B20DE"/>
    <w:pPr>
      <w:ind w:left="720"/>
      <w:contextualSpacing/>
    </w:pPr>
  </w:style>
  <w:style w:type="character" w:styleId="IntenseEmphasis">
    <w:name w:val="Intense Emphasis"/>
    <w:basedOn w:val="DefaultParagraphFont"/>
    <w:uiPriority w:val="21"/>
    <w:qFormat/>
    <w:rsid w:val="000B20DE"/>
    <w:rPr>
      <w:i/>
      <w:iCs/>
      <w:color w:val="0F4761" w:themeColor="accent1" w:themeShade="BF"/>
    </w:rPr>
  </w:style>
  <w:style w:type="paragraph" w:styleId="IntenseQuote">
    <w:name w:val="Intense Quote"/>
    <w:basedOn w:val="Normal"/>
    <w:next w:val="Normal"/>
    <w:link w:val="IntenseQuoteChar"/>
    <w:uiPriority w:val="30"/>
    <w:qFormat/>
    <w:rsid w:val="000B20D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B20DE"/>
    <w:rPr>
      <w:i/>
      <w:iCs/>
      <w:color w:val="0F4761" w:themeColor="accent1" w:themeShade="BF"/>
    </w:rPr>
  </w:style>
  <w:style w:type="character" w:styleId="IntenseReference">
    <w:name w:val="Intense Reference"/>
    <w:basedOn w:val="DefaultParagraphFont"/>
    <w:uiPriority w:val="32"/>
    <w:qFormat/>
    <w:rsid w:val="000B20DE"/>
    <w:rPr>
      <w:b/>
      <w:bCs/>
      <w:smallCaps/>
      <w:color w:val="0F4761" w:themeColor="accent1" w:themeShade="BF"/>
      <w:spacing w:val="5"/>
    </w:rPr>
  </w:style>
  <w:style w:type="table" w:styleId="TableGrid">
    <w:name w:val="Table Grid"/>
    <w:basedOn w:val="TableNormal"/>
    <w:uiPriority w:val="39"/>
    <w:rsid w:val="008E021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0B6639"/>
    <w:pPr>
      <w:tabs>
        <w:tab w:val="center" w:pos="4680"/>
        <w:tab w:val="right" w:pos="9360"/>
      </w:tabs>
      <w:spacing w:after="0" w:line="240" w:lineRule="auto"/>
    </w:pPr>
  </w:style>
  <w:style w:type="character" w:customStyle="1" w:styleId="HeaderChar">
    <w:name w:val="Header Char"/>
    <w:basedOn w:val="DefaultParagraphFont"/>
    <w:link w:val="Header"/>
    <w:uiPriority w:val="99"/>
    <w:rsid w:val="000B6639"/>
  </w:style>
  <w:style w:type="paragraph" w:styleId="Footer">
    <w:name w:val="footer"/>
    <w:basedOn w:val="Normal"/>
    <w:link w:val="FooterChar"/>
    <w:uiPriority w:val="99"/>
    <w:unhideWhenUsed/>
    <w:rsid w:val="000B6639"/>
    <w:pPr>
      <w:tabs>
        <w:tab w:val="center" w:pos="4680"/>
        <w:tab w:val="right" w:pos="9360"/>
      </w:tabs>
      <w:spacing w:after="0" w:line="240" w:lineRule="auto"/>
    </w:pPr>
  </w:style>
  <w:style w:type="character" w:customStyle="1" w:styleId="FooterChar">
    <w:name w:val="Footer Char"/>
    <w:basedOn w:val="DefaultParagraphFont"/>
    <w:link w:val="Footer"/>
    <w:uiPriority w:val="99"/>
    <w:rsid w:val="000B663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02174187">
      <w:bodyDiv w:val="1"/>
      <w:marLeft w:val="0"/>
      <w:marRight w:val="0"/>
      <w:marTop w:val="0"/>
      <w:marBottom w:val="0"/>
      <w:divBdr>
        <w:top w:val="none" w:sz="0" w:space="0" w:color="auto"/>
        <w:left w:val="none" w:sz="0" w:space="0" w:color="auto"/>
        <w:bottom w:val="none" w:sz="0" w:space="0" w:color="auto"/>
        <w:right w:val="none" w:sz="0" w:space="0" w:color="auto"/>
      </w:divBdr>
      <w:divsChild>
        <w:div w:id="1454440739">
          <w:marLeft w:val="0"/>
          <w:marRight w:val="0"/>
          <w:marTop w:val="0"/>
          <w:marBottom w:val="0"/>
          <w:divBdr>
            <w:top w:val="none" w:sz="0" w:space="0" w:color="auto"/>
            <w:left w:val="none" w:sz="0" w:space="0" w:color="auto"/>
            <w:bottom w:val="none" w:sz="0" w:space="0" w:color="auto"/>
            <w:right w:val="none" w:sz="0" w:space="0" w:color="auto"/>
          </w:divBdr>
          <w:divsChild>
            <w:div w:id="651717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5705807">
      <w:bodyDiv w:val="1"/>
      <w:marLeft w:val="0"/>
      <w:marRight w:val="0"/>
      <w:marTop w:val="0"/>
      <w:marBottom w:val="0"/>
      <w:divBdr>
        <w:top w:val="none" w:sz="0" w:space="0" w:color="auto"/>
        <w:left w:val="none" w:sz="0" w:space="0" w:color="auto"/>
        <w:bottom w:val="none" w:sz="0" w:space="0" w:color="auto"/>
        <w:right w:val="none" w:sz="0" w:space="0" w:color="auto"/>
      </w:divBdr>
      <w:divsChild>
        <w:div w:id="1575507266">
          <w:marLeft w:val="0"/>
          <w:marRight w:val="0"/>
          <w:marTop w:val="0"/>
          <w:marBottom w:val="0"/>
          <w:divBdr>
            <w:top w:val="none" w:sz="0" w:space="0" w:color="auto"/>
            <w:left w:val="none" w:sz="0" w:space="0" w:color="auto"/>
            <w:bottom w:val="none" w:sz="0" w:space="0" w:color="auto"/>
            <w:right w:val="none" w:sz="0" w:space="0" w:color="auto"/>
          </w:divBdr>
          <w:divsChild>
            <w:div w:id="2086951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9653537">
      <w:bodyDiv w:val="1"/>
      <w:marLeft w:val="0"/>
      <w:marRight w:val="0"/>
      <w:marTop w:val="0"/>
      <w:marBottom w:val="0"/>
      <w:divBdr>
        <w:top w:val="none" w:sz="0" w:space="0" w:color="auto"/>
        <w:left w:val="none" w:sz="0" w:space="0" w:color="auto"/>
        <w:bottom w:val="none" w:sz="0" w:space="0" w:color="auto"/>
        <w:right w:val="none" w:sz="0" w:space="0" w:color="auto"/>
      </w:divBdr>
      <w:divsChild>
        <w:div w:id="89201725">
          <w:marLeft w:val="0"/>
          <w:marRight w:val="0"/>
          <w:marTop w:val="0"/>
          <w:marBottom w:val="0"/>
          <w:divBdr>
            <w:top w:val="none" w:sz="0" w:space="0" w:color="auto"/>
            <w:left w:val="none" w:sz="0" w:space="0" w:color="auto"/>
            <w:bottom w:val="none" w:sz="0" w:space="0" w:color="auto"/>
            <w:right w:val="none" w:sz="0" w:space="0" w:color="auto"/>
          </w:divBdr>
          <w:divsChild>
            <w:div w:id="367728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7149697">
      <w:bodyDiv w:val="1"/>
      <w:marLeft w:val="0"/>
      <w:marRight w:val="0"/>
      <w:marTop w:val="0"/>
      <w:marBottom w:val="0"/>
      <w:divBdr>
        <w:top w:val="none" w:sz="0" w:space="0" w:color="auto"/>
        <w:left w:val="none" w:sz="0" w:space="0" w:color="auto"/>
        <w:bottom w:val="none" w:sz="0" w:space="0" w:color="auto"/>
        <w:right w:val="none" w:sz="0" w:space="0" w:color="auto"/>
      </w:divBdr>
      <w:divsChild>
        <w:div w:id="53432469">
          <w:marLeft w:val="0"/>
          <w:marRight w:val="0"/>
          <w:marTop w:val="0"/>
          <w:marBottom w:val="0"/>
          <w:divBdr>
            <w:top w:val="none" w:sz="0" w:space="0" w:color="auto"/>
            <w:left w:val="none" w:sz="0" w:space="0" w:color="auto"/>
            <w:bottom w:val="none" w:sz="0" w:space="0" w:color="auto"/>
            <w:right w:val="none" w:sz="0" w:space="0" w:color="auto"/>
          </w:divBdr>
          <w:divsChild>
            <w:div w:id="2107578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1430</TotalTime>
  <Pages>5</Pages>
  <Words>1195</Words>
  <Characters>6815</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Korlacki, Andrzej</dc:creator>
  <cp:keywords/>
  <dc:description/>
  <cp:lastModifiedBy>Korlacki, Andrzej</cp:lastModifiedBy>
  <cp:revision>18</cp:revision>
  <cp:lastPrinted>2026-03-08T15:14:00Z</cp:lastPrinted>
  <dcterms:created xsi:type="dcterms:W3CDTF">2026-03-07T16:18:00Z</dcterms:created>
  <dcterms:modified xsi:type="dcterms:W3CDTF">2026-03-08T15:15:00Z</dcterms:modified>
</cp:coreProperties>
</file>