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E6DC" w14:textId="77777777" w:rsidR="00454331" w:rsidRDefault="004543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454331" w14:paraId="0DB2FF41" w14:textId="77777777">
        <w:trPr>
          <w:trHeight w:val="1701"/>
        </w:trPr>
        <w:tc>
          <w:tcPr>
            <w:tcW w:w="7762" w:type="dxa"/>
            <w:vAlign w:val="center"/>
          </w:tcPr>
          <w:p w14:paraId="22EB6190" w14:textId="77777777" w:rsidR="00454331" w:rsidRDefault="006D5039">
            <w:r>
              <w:rPr>
                <w:noProof/>
              </w:rPr>
              <w:drawing>
                <wp:inline distT="0" distB="0" distL="0" distR="0" wp14:anchorId="61E40E86" wp14:editId="050E1A7A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0A8A69" w14:textId="77777777" w:rsidR="00454331" w:rsidRDefault="00454331">
            <w:pPr>
              <w:jc w:val="center"/>
            </w:pPr>
          </w:p>
          <w:p w14:paraId="1E6CA15C" w14:textId="77777777" w:rsidR="00454331" w:rsidRDefault="00454331">
            <w:pPr>
              <w:jc w:val="center"/>
            </w:pPr>
          </w:p>
          <w:p w14:paraId="4876F746" w14:textId="77777777" w:rsidR="00454331" w:rsidRDefault="00454331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16F922C1" w14:textId="77777777" w:rsidR="00454331" w:rsidRDefault="006D5039" w:rsidP="006D5039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14:paraId="6EB71649" w14:textId="77777777" w:rsidR="00454331" w:rsidRDefault="00454331" w:rsidP="006D5039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00DED600" w14:textId="77777777" w:rsidR="00454331" w:rsidRDefault="006D5039" w:rsidP="006D5039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7FC46BA1" w14:textId="77777777" w:rsidR="00454331" w:rsidRDefault="006D5039" w:rsidP="006D5039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2D61F115" w14:textId="77777777" w:rsidR="00454331" w:rsidRDefault="00454331">
            <w:pPr>
              <w:jc w:val="center"/>
              <w:rPr>
                <w:b/>
                <w:sz w:val="24"/>
                <w:szCs w:val="24"/>
              </w:rPr>
            </w:pPr>
          </w:p>
          <w:p w14:paraId="216A7FBB" w14:textId="77777777" w:rsidR="00454331" w:rsidRDefault="0045433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454331" w14:paraId="5FEF85A7" w14:textId="77777777" w:rsidTr="006D5039">
        <w:trPr>
          <w:trHeight w:val="20"/>
        </w:trPr>
        <w:tc>
          <w:tcPr>
            <w:tcW w:w="7762" w:type="dxa"/>
            <w:gridSpan w:val="2"/>
            <w:vAlign w:val="center"/>
          </w:tcPr>
          <w:p w14:paraId="713A7779" w14:textId="77777777" w:rsidR="00454331" w:rsidRDefault="006D503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B063FEF" w14:textId="77777777" w:rsidR="00454331" w:rsidRDefault="0045433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9CFB213" w14:textId="77777777" w:rsidR="00454331" w:rsidRDefault="006D503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454331" w14:paraId="2ADAE65E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02E73016" w14:textId="77777777" w:rsidR="00454331" w:rsidRDefault="006D5039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14:paraId="7A2C7C5A" w14:textId="77777777" w:rsidR="00454331" w:rsidRDefault="00454331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17AB8A07" w14:textId="77777777" w:rsidR="00454331" w:rsidRDefault="006D5039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454331" w14:paraId="6987A32E" w14:textId="77777777" w:rsidTr="006D5039">
        <w:trPr>
          <w:trHeight w:val="20"/>
        </w:trPr>
        <w:tc>
          <w:tcPr>
            <w:tcW w:w="7762" w:type="dxa"/>
            <w:gridSpan w:val="2"/>
            <w:vAlign w:val="center"/>
          </w:tcPr>
          <w:p w14:paraId="2AC463FD" w14:textId="77777777" w:rsidR="00454331" w:rsidRDefault="006D503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B3CB175" w14:textId="77777777" w:rsidR="00454331" w:rsidRDefault="0045433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7270B975" w14:textId="77777777" w:rsidR="00454331" w:rsidRDefault="006D503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454331" w14:paraId="477C821F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138C0849" w14:textId="77777777" w:rsidR="00454331" w:rsidRDefault="006D5039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14:paraId="7E26938F" w14:textId="77777777" w:rsidR="00454331" w:rsidRDefault="00454331"/>
        </w:tc>
        <w:tc>
          <w:tcPr>
            <w:tcW w:w="2945" w:type="dxa"/>
            <w:shd w:val="clear" w:color="auto" w:fill="F2F2F2"/>
          </w:tcPr>
          <w:p w14:paraId="28F7DA40" w14:textId="77777777" w:rsidR="00454331" w:rsidRDefault="006D5039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454331" w14:paraId="133B950B" w14:textId="77777777" w:rsidTr="006D5039">
        <w:trPr>
          <w:trHeight w:val="20"/>
        </w:trPr>
        <w:tc>
          <w:tcPr>
            <w:tcW w:w="10988" w:type="dxa"/>
            <w:gridSpan w:val="4"/>
            <w:vAlign w:val="center"/>
          </w:tcPr>
          <w:p w14:paraId="0E98B3EF" w14:textId="77777777" w:rsidR="00454331" w:rsidRDefault="006D503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454331" w14:paraId="54A18B1E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14DA162E" w14:textId="77777777" w:rsidR="00F45BCC" w:rsidRDefault="00F45BCC" w:rsidP="00F45BCC">
            <w:pPr>
              <w:jc w:val="both"/>
              <w:rPr>
                <w:b/>
                <w:sz w:val="24"/>
                <w:szCs w:val="24"/>
              </w:rPr>
            </w:pPr>
            <w:r w:rsidRPr="0021677C">
              <w:rPr>
                <w:b/>
                <w:sz w:val="24"/>
                <w:szCs w:val="24"/>
              </w:rPr>
              <w:t>EDIFICAÇÃO</w:t>
            </w:r>
            <w:r>
              <w:rPr>
                <w:b/>
                <w:sz w:val="24"/>
                <w:szCs w:val="24"/>
              </w:rPr>
              <w:t xml:space="preserve"> CONCLUÍDA,</w:t>
            </w:r>
            <w:r w:rsidRPr="0021677C">
              <w:rPr>
                <w:b/>
                <w:sz w:val="24"/>
                <w:szCs w:val="24"/>
              </w:rPr>
              <w:t xml:space="preserve"> SENDO OCUPADA</w:t>
            </w:r>
            <w:r>
              <w:rPr>
                <w:b/>
                <w:sz w:val="24"/>
                <w:szCs w:val="24"/>
              </w:rPr>
              <w:t>,</w:t>
            </w:r>
            <w:r w:rsidRPr="0021677C">
              <w:rPr>
                <w:b/>
                <w:sz w:val="24"/>
                <w:szCs w:val="24"/>
              </w:rPr>
              <w:t xml:space="preserve"> SEM </w:t>
            </w:r>
            <w:r>
              <w:rPr>
                <w:b/>
                <w:sz w:val="24"/>
                <w:szCs w:val="24"/>
              </w:rPr>
              <w:t>O</w:t>
            </w:r>
            <w:r w:rsidRPr="0021677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DEVID</w:t>
            </w:r>
            <w:r w:rsidRPr="0021677C">
              <w:rPr>
                <w:b/>
                <w:sz w:val="24"/>
                <w:szCs w:val="24"/>
              </w:rPr>
              <w:t>O ALVA</w:t>
            </w:r>
            <w:r>
              <w:rPr>
                <w:b/>
                <w:sz w:val="24"/>
                <w:szCs w:val="24"/>
              </w:rPr>
              <w:t>RÁ DE HABITE-SE.</w:t>
            </w:r>
          </w:p>
          <w:p w14:paraId="6FD189D4" w14:textId="7F2D786C" w:rsidR="00454331" w:rsidRDefault="00F45BCC" w:rsidP="00F45BC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REFERENTE AO ALVARÁ DE CONSTRUÇÃO </w:t>
            </w:r>
            <w:r w:rsidRPr="00F45BCC">
              <w:rPr>
                <w:b/>
                <w:color w:val="FF0000"/>
                <w:sz w:val="24"/>
                <w:szCs w:val="24"/>
              </w:rPr>
              <w:t>nº 000/0000.</w:t>
            </w:r>
          </w:p>
        </w:tc>
      </w:tr>
      <w:tr w:rsidR="00454331" w14:paraId="6ECD4166" w14:textId="77777777" w:rsidTr="006D5039">
        <w:trPr>
          <w:trHeight w:val="20"/>
        </w:trPr>
        <w:tc>
          <w:tcPr>
            <w:tcW w:w="10988" w:type="dxa"/>
            <w:gridSpan w:val="4"/>
            <w:vAlign w:val="center"/>
          </w:tcPr>
          <w:p w14:paraId="5462D68A" w14:textId="77777777" w:rsidR="00454331" w:rsidRDefault="006D503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454331" w14:paraId="2CA91720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5352DB04" w14:textId="658E6915" w:rsidR="00454331" w:rsidRDefault="00F45BC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REQUERER E/OU APRESENTAR O ALVARÁ DE HABITE-SE DA EDIFICAÇÃO, DE ACORDO COM O REFERIDO ALVARÁ DE CONSTRUÇÃO</w:t>
            </w:r>
            <w:r w:rsidR="00801D64">
              <w:rPr>
                <w:b/>
                <w:sz w:val="24"/>
                <w:szCs w:val="24"/>
              </w:rPr>
              <w:t>.</w:t>
            </w:r>
          </w:p>
        </w:tc>
      </w:tr>
      <w:tr w:rsidR="00454331" w14:paraId="1AA4B65E" w14:textId="77777777" w:rsidTr="006D5039">
        <w:trPr>
          <w:trHeight w:val="20"/>
        </w:trPr>
        <w:tc>
          <w:tcPr>
            <w:tcW w:w="10988" w:type="dxa"/>
            <w:gridSpan w:val="4"/>
            <w:vAlign w:val="center"/>
          </w:tcPr>
          <w:p w14:paraId="6DE8E4F6" w14:textId="77777777" w:rsidR="00454331" w:rsidRDefault="006D503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454331" w14:paraId="3FC81B61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3BF4F782" w14:textId="77777777" w:rsidR="00454331" w:rsidRDefault="006D503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 (TRINTA) DIAS, A PARTIR DO RECEBIMENTO DESTA.</w:t>
            </w:r>
          </w:p>
        </w:tc>
      </w:tr>
      <w:tr w:rsidR="00454331" w14:paraId="7AFD2CB5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7ACF3A51" w14:textId="77777777" w:rsidR="00454331" w:rsidRDefault="00454331">
            <w:pPr>
              <w:jc w:val="both"/>
              <w:rPr>
                <w:sz w:val="18"/>
                <w:szCs w:val="18"/>
              </w:rPr>
            </w:pPr>
          </w:p>
        </w:tc>
      </w:tr>
      <w:tr w:rsidR="00454331" w14:paraId="3C9F4C5F" w14:textId="77777777" w:rsidTr="006D5039">
        <w:trPr>
          <w:trHeight w:val="20"/>
        </w:trPr>
        <w:tc>
          <w:tcPr>
            <w:tcW w:w="10988" w:type="dxa"/>
            <w:gridSpan w:val="4"/>
          </w:tcPr>
          <w:p w14:paraId="5DA9228C" w14:textId="77777777" w:rsidR="00454331" w:rsidRDefault="006D5039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F45BCC" w14:paraId="0B6E5141" w14:textId="77777777" w:rsidTr="006D5039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14:paraId="5FA08905" w14:textId="77777777" w:rsidR="00F45BCC" w:rsidRPr="00873996" w:rsidRDefault="00F45BCC" w:rsidP="00F45BCC">
            <w:pPr>
              <w:jc w:val="both"/>
              <w:rPr>
                <w:rFonts w:cs="Inconsolata-Regular"/>
                <w:i/>
                <w:sz w:val="19"/>
                <w:szCs w:val="19"/>
              </w:rPr>
            </w:pPr>
            <w:r w:rsidRPr="00873996">
              <w:rPr>
                <w:i/>
                <w:sz w:val="19"/>
                <w:szCs w:val="19"/>
              </w:rPr>
              <w:t xml:space="preserve">Lei 2763/1992 - Art. 46 - </w:t>
            </w:r>
            <w:r w:rsidRPr="00873996">
              <w:rPr>
                <w:rFonts w:cs="Inconsolata-Regular"/>
                <w:i/>
                <w:sz w:val="19"/>
                <w:szCs w:val="19"/>
              </w:rPr>
              <w:t>Nenhuma edificação poderá ser ocupada sem que seja procedida a vistoria pela Prefeitura e expedido o respectivo "habite-se".</w:t>
            </w:r>
          </w:p>
          <w:p w14:paraId="2CB57908" w14:textId="77777777" w:rsidR="00F45BCC" w:rsidRPr="00873996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19"/>
                <w:szCs w:val="19"/>
              </w:rPr>
            </w:pPr>
            <w:r w:rsidRPr="00873996">
              <w:rPr>
                <w:i/>
                <w:sz w:val="19"/>
                <w:szCs w:val="19"/>
              </w:rPr>
              <w:t xml:space="preserve">Lei 2763/1992 - </w:t>
            </w:r>
            <w:r w:rsidRPr="00873996">
              <w:rPr>
                <w:rFonts w:cs="Inconsolata-Regular"/>
                <w:bCs/>
                <w:i/>
                <w:sz w:val="19"/>
                <w:szCs w:val="19"/>
              </w:rPr>
              <w:t>A</w:t>
            </w:r>
            <w:r w:rsidRPr="00873996">
              <w:rPr>
                <w:rFonts w:cs="Inconsolata-Regular"/>
                <w:i/>
                <w:sz w:val="19"/>
                <w:szCs w:val="19"/>
              </w:rPr>
              <w:t>rt. 47 - Após a conclusão das obras, deverá ser requerida vistoria à Prefeitura, no prazo de 30 (trinta) dias.</w:t>
            </w:r>
          </w:p>
          <w:p w14:paraId="48F0F72E" w14:textId="77777777" w:rsidR="00F45BCC" w:rsidRPr="00873996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19"/>
                <w:szCs w:val="19"/>
              </w:rPr>
            </w:pPr>
          </w:p>
          <w:p w14:paraId="5F47804B" w14:textId="77777777" w:rsidR="00F45BCC" w:rsidRPr="00873996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19"/>
                <w:szCs w:val="19"/>
              </w:rPr>
            </w:pPr>
            <w:r w:rsidRPr="00873996">
              <w:rPr>
                <w:rFonts w:cs="Inconsolata-Regular"/>
                <w:i/>
                <w:sz w:val="19"/>
                <w:szCs w:val="19"/>
              </w:rPr>
              <w:t>Lei Complementar 29/2009 - Art. 29 - Concluída a obra de construção civil, o responsável deverá apresentar à fazenda municipal os documentos fiscais e contábeis, bem como outros que a fazenda julgar necessários à apuração do ISSQN relativo àquela obra.</w:t>
            </w:r>
          </w:p>
          <w:p w14:paraId="55119C41" w14:textId="77777777" w:rsidR="00F45BCC" w:rsidRPr="00873996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19"/>
                <w:szCs w:val="19"/>
              </w:rPr>
            </w:pPr>
          </w:p>
          <w:p w14:paraId="1FA44FBE" w14:textId="77777777" w:rsidR="00F45BCC" w:rsidRPr="00873996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19"/>
                <w:szCs w:val="19"/>
              </w:rPr>
            </w:pPr>
            <w:r w:rsidRPr="00873996">
              <w:rPr>
                <w:rFonts w:cs="Inconsolata-Regular"/>
                <w:i/>
                <w:sz w:val="19"/>
                <w:szCs w:val="19"/>
              </w:rPr>
              <w:t>§ 1º A fazenda municipal arbitrará o valor do ISSQN incidente sobre os serviços prestados no decorrer da obra, quando:</w:t>
            </w:r>
          </w:p>
          <w:p w14:paraId="7D93F599" w14:textId="77777777" w:rsidR="00F45BCC" w:rsidRPr="00873996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19"/>
                <w:szCs w:val="19"/>
              </w:rPr>
            </w:pPr>
            <w:r w:rsidRPr="00873996">
              <w:rPr>
                <w:rFonts w:cs="Inconsolata-Regular"/>
                <w:i/>
                <w:sz w:val="19"/>
                <w:szCs w:val="19"/>
              </w:rPr>
              <w:t>I - não forem apresentados em sua totalidade os documentos contábeis, fiscais ou outros relacionados à obra, necessários à apuração do imposto;</w:t>
            </w:r>
          </w:p>
          <w:p w14:paraId="3041FD06" w14:textId="77777777" w:rsidR="00F45BCC" w:rsidRPr="00873996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19"/>
                <w:szCs w:val="19"/>
              </w:rPr>
            </w:pPr>
            <w:r w:rsidRPr="00873996">
              <w:rPr>
                <w:rFonts w:cs="Inconsolata-Regular"/>
                <w:i/>
                <w:sz w:val="19"/>
                <w:szCs w:val="19"/>
              </w:rPr>
              <w:t>II - os registros contábeis ou fiscais consignados nos documentos apresentados não refletirem com precisão as operações relativas à obra;</w:t>
            </w:r>
          </w:p>
          <w:p w14:paraId="6E948E31" w14:textId="77777777" w:rsidR="00F45BCC" w:rsidRPr="00873996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19"/>
                <w:szCs w:val="19"/>
              </w:rPr>
            </w:pPr>
            <w:r w:rsidRPr="00873996">
              <w:rPr>
                <w:rFonts w:cs="Inconsolata-Regular"/>
                <w:i/>
                <w:sz w:val="19"/>
                <w:szCs w:val="19"/>
              </w:rPr>
              <w:t>III - não for possível individualizar os registros da obra nos documentos contábeis e fiscais ou nos demais documentos apresentados.</w:t>
            </w:r>
          </w:p>
          <w:p w14:paraId="541FE4C9" w14:textId="77777777" w:rsidR="00F45BCC" w:rsidRPr="00873996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19"/>
                <w:szCs w:val="19"/>
              </w:rPr>
            </w:pPr>
            <w:r w:rsidRPr="00873996">
              <w:rPr>
                <w:rFonts w:cs="Inconsolata-Regular"/>
                <w:i/>
                <w:sz w:val="19"/>
                <w:szCs w:val="19"/>
              </w:rPr>
              <w:t>§ 2º Quando o valor do ISSQN for apurado por meio de arbitramento, deverão ser deduzidos os recolhimentos já efetuados, desde que tais recolhimentos refiram-se aos mesmos serviços considerados no arbitramento.</w:t>
            </w:r>
          </w:p>
          <w:p w14:paraId="6698DDF1" w14:textId="77777777" w:rsidR="00F45BCC" w:rsidRPr="00873996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19"/>
                <w:szCs w:val="19"/>
              </w:rPr>
            </w:pPr>
          </w:p>
          <w:p w14:paraId="1187481C" w14:textId="77777777" w:rsidR="00F45BCC" w:rsidRPr="00060F29" w:rsidRDefault="00F45BCC" w:rsidP="00F45BCC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</w:pP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 xml:space="preserve">Lei 2763/1992 - Art. 170 - As penalidades aplicáveis pelo descumprimento do disposto no presente Código consistirão na aplicação de multas, de </w:t>
            </w: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u w:val="single"/>
                <w:lang w:eastAsia="en-US"/>
              </w:rPr>
              <w:t>01 (uma) a 100 (cem) UFM’s</w:t>
            </w: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 xml:space="preserve"> - Unidades Fiscais do Município, a critério da Municipalidade, independente a obrigação de ajustar-se o infrator às disposições da presente Lei.</w:t>
            </w:r>
          </w:p>
          <w:p w14:paraId="0DE620AF" w14:textId="77777777" w:rsidR="00F45BCC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</w:p>
          <w:p w14:paraId="50808A21" w14:textId="77777777" w:rsidR="00F45BCC" w:rsidRDefault="00F45BCC" w:rsidP="00F45BCC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  <w:r w:rsidRPr="00F31C2C">
              <w:rPr>
                <w:rFonts w:cs="Inconsolata-Regular"/>
                <w:i/>
                <w:sz w:val="20"/>
                <w:szCs w:val="20"/>
              </w:rPr>
              <w:t>Decreto 12.077/2020 – Art. 1º - O valor da Unidade Fiscal do Município - UFM para o ano de 2021 fica atualizado para R$ 186,50 (cento e oitenta e seis reais e cinquenta centavos), devendo ser aplicado a partir de 1º de janeiro de 2021, a toda a legislação municipal expressa em UFM.</w:t>
            </w:r>
          </w:p>
          <w:p w14:paraId="0286E0E5" w14:textId="77777777" w:rsidR="00F45BCC" w:rsidRDefault="00F45BCC" w:rsidP="00F45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F45BCC" w14:paraId="048EA841" w14:textId="77777777" w:rsidTr="006D5039">
        <w:trPr>
          <w:trHeight w:val="20"/>
        </w:trPr>
        <w:tc>
          <w:tcPr>
            <w:tcW w:w="5637" w:type="dxa"/>
          </w:tcPr>
          <w:p w14:paraId="222FEB4F" w14:textId="77777777" w:rsidR="00F45BCC" w:rsidRDefault="00F45BCC" w:rsidP="00F45BCC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2362FE37" w14:textId="77777777" w:rsidR="00F45BCC" w:rsidRDefault="00F45BCC" w:rsidP="00F45BCC">
            <w:pPr>
              <w:rPr>
                <w:b/>
              </w:rPr>
            </w:pPr>
          </w:p>
          <w:p w14:paraId="27BF38BB" w14:textId="77777777" w:rsidR="00F45BCC" w:rsidRDefault="00F45BCC" w:rsidP="00F45BCC">
            <w:pPr>
              <w:rPr>
                <w:b/>
              </w:rPr>
            </w:pPr>
          </w:p>
          <w:p w14:paraId="6DF032FA" w14:textId="77777777" w:rsidR="00F45BCC" w:rsidRDefault="00F45BCC" w:rsidP="00F45BCC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2E080E1" w14:textId="77777777" w:rsidR="00F45BCC" w:rsidRDefault="00F45BCC" w:rsidP="00F45BC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69BD0C7B" w14:textId="77777777" w:rsidR="00F45BCC" w:rsidRDefault="00F45BCC" w:rsidP="00F45BCC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1494B53C" w14:textId="77777777" w:rsidR="00F45BCC" w:rsidRDefault="00F45BCC" w:rsidP="00F45BCC">
            <w:pPr>
              <w:jc w:val="center"/>
              <w:rPr>
                <w:b/>
              </w:rPr>
            </w:pPr>
          </w:p>
          <w:p w14:paraId="27F97D83" w14:textId="77777777" w:rsidR="00F45BCC" w:rsidRDefault="00F45BCC" w:rsidP="00F45BCC">
            <w:pPr>
              <w:rPr>
                <w:b/>
              </w:rPr>
            </w:pPr>
          </w:p>
          <w:p w14:paraId="2950E5B4" w14:textId="77777777" w:rsidR="00F45BCC" w:rsidRDefault="00F45BCC" w:rsidP="00F45BCC">
            <w:pPr>
              <w:jc w:val="center"/>
              <w:rPr>
                <w:b/>
              </w:rPr>
            </w:pPr>
          </w:p>
          <w:p w14:paraId="1F88FF70" w14:textId="77777777" w:rsidR="00F45BCC" w:rsidRDefault="00F45BCC" w:rsidP="00F45BCC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65BC2561" w14:textId="77777777" w:rsidR="00F45BCC" w:rsidRDefault="00F45BCC" w:rsidP="00F45BC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14:paraId="7DF2F531" w14:textId="77777777" w:rsidR="00F45BCC" w:rsidRDefault="00F45BCC" w:rsidP="00F45BC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6CB55BC6" w14:textId="77777777" w:rsidR="00F45BCC" w:rsidRDefault="00F45BCC" w:rsidP="00F45BCC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>MATRÍCULA afm_matricula</w:t>
            </w:r>
          </w:p>
        </w:tc>
      </w:tr>
      <w:tr w:rsidR="00F45BCC" w14:paraId="051E37FF" w14:textId="77777777" w:rsidTr="006D5039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14:paraId="6FD979B0" w14:textId="77777777" w:rsidR="00F45BCC" w:rsidRDefault="00F45BCC" w:rsidP="00F45BCC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7356EA34" w14:textId="77777777" w:rsidR="00454331" w:rsidRDefault="00454331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454331" w14:paraId="588BFA5B" w14:textId="77777777">
        <w:trPr>
          <w:trHeight w:val="284"/>
        </w:trPr>
        <w:tc>
          <w:tcPr>
            <w:tcW w:w="10988" w:type="dxa"/>
            <w:gridSpan w:val="3"/>
          </w:tcPr>
          <w:p w14:paraId="6863D269" w14:textId="77777777" w:rsidR="00454331" w:rsidRDefault="006D5039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454331" w14:paraId="49DA0F3F" w14:textId="77777777">
        <w:trPr>
          <w:trHeight w:val="284"/>
        </w:trPr>
        <w:tc>
          <w:tcPr>
            <w:tcW w:w="10988" w:type="dxa"/>
            <w:gridSpan w:val="3"/>
          </w:tcPr>
          <w:p w14:paraId="0D106AB3" w14:textId="77777777" w:rsidR="00454331" w:rsidRDefault="006D5039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454331" w14:paraId="61ECDE5F" w14:textId="77777777">
        <w:trPr>
          <w:trHeight w:val="284"/>
        </w:trPr>
        <w:tc>
          <w:tcPr>
            <w:tcW w:w="3226" w:type="dxa"/>
          </w:tcPr>
          <w:p w14:paraId="4D87C2E5" w14:textId="77777777" w:rsidR="00454331" w:rsidRDefault="006D5039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6C4CB151" w14:textId="77777777" w:rsidR="00454331" w:rsidRDefault="006D5039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553B605E" w14:textId="77777777" w:rsidR="00454331" w:rsidRDefault="006D5039">
            <w:r>
              <w:rPr>
                <w:b/>
              </w:rPr>
              <w:t xml:space="preserve">CÓDIGO DE RASTREAMENTO: </w:t>
            </w:r>
          </w:p>
        </w:tc>
      </w:tr>
    </w:tbl>
    <w:p w14:paraId="571BD5C0" w14:textId="77777777" w:rsidR="00454331" w:rsidRDefault="00454331">
      <w:pPr>
        <w:spacing w:after="0" w:line="240" w:lineRule="auto"/>
      </w:pPr>
    </w:p>
    <w:sectPr w:rsidR="00454331" w:rsidSect="00454331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331"/>
    <w:rsid w:val="00454331"/>
    <w:rsid w:val="005D0F5F"/>
    <w:rsid w:val="006D5039"/>
    <w:rsid w:val="00801D64"/>
    <w:rsid w:val="008D5FE9"/>
    <w:rsid w:val="00A37D92"/>
    <w:rsid w:val="00F45BCC"/>
    <w:rsid w:val="00FE3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7C43"/>
  <w15:docId w15:val="{7B8B12BB-FFB1-4FA2-BEAA-44ECBB43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4543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4543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4543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4543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45433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4543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454331"/>
  </w:style>
  <w:style w:type="table" w:customStyle="1" w:styleId="TableNormal">
    <w:name w:val="Table Normal"/>
    <w:rsid w:val="004543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454331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4543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433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45433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45433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D5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eQx9macU3hjTYPaSPIvW+9ADUQ==">AMUW2mU39SzS/XZh2PG3zKROGKa1cS3dNFNIABM9n4EkKC1bw4fxS4r4otsIzP4akvlQjBD5g9tt15Bw6x3105liiX8rKEnq50VYzBCoope+mgfoO3j9jPU=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511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7</cp:revision>
  <dcterms:created xsi:type="dcterms:W3CDTF">2021-05-04T18:55:00Z</dcterms:created>
  <dcterms:modified xsi:type="dcterms:W3CDTF">2021-07-07T18:59:00Z</dcterms:modified>
</cp:coreProperties>
</file>