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73D8" w14:textId="77777777" w:rsidR="00A704AC" w:rsidRDefault="00A704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A704AC" w14:paraId="6995BF69" w14:textId="77777777">
        <w:trPr>
          <w:trHeight w:val="1701"/>
        </w:trPr>
        <w:tc>
          <w:tcPr>
            <w:tcW w:w="7762" w:type="dxa"/>
            <w:vAlign w:val="center"/>
          </w:tcPr>
          <w:p w14:paraId="5B00260B" w14:textId="77777777" w:rsidR="00A704AC" w:rsidRDefault="00767B3B">
            <w:r>
              <w:rPr>
                <w:noProof/>
              </w:rPr>
              <w:drawing>
                <wp:inline distT="0" distB="0" distL="0" distR="0" wp14:anchorId="4129B2B8" wp14:editId="77BA0C7D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C06883" w14:textId="77777777" w:rsidR="00A704AC" w:rsidRDefault="00A704AC">
            <w:pPr>
              <w:jc w:val="center"/>
            </w:pPr>
          </w:p>
          <w:p w14:paraId="67DDE8F9" w14:textId="77777777" w:rsidR="00A704AC" w:rsidRDefault="00A704AC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473F78F7" w14:textId="77777777" w:rsidR="00A704AC" w:rsidRDefault="00767B3B" w:rsidP="00767B3B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691073C5" w14:textId="77777777" w:rsidR="00A704AC" w:rsidRDefault="00A704AC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373636D1" w14:textId="77777777" w:rsidR="00A704AC" w:rsidRDefault="00767B3B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35E1B922" w14:textId="77777777" w:rsidR="00A704AC" w:rsidRDefault="00767B3B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2F881296" w14:textId="77777777" w:rsidR="00A704AC" w:rsidRDefault="00A704AC">
            <w:pPr>
              <w:jc w:val="center"/>
              <w:rPr>
                <w:b/>
                <w:sz w:val="24"/>
                <w:szCs w:val="24"/>
              </w:rPr>
            </w:pPr>
          </w:p>
          <w:p w14:paraId="123DD80A" w14:textId="77777777" w:rsidR="00A704AC" w:rsidRDefault="00A704A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A704AC" w14:paraId="13DCC193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2E19AA3B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29A45A19" w14:textId="77777777" w:rsidR="00A704AC" w:rsidRDefault="00A704A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2121418F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A704AC" w14:paraId="7AACF62E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16FAE7D7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329CE8DD" w14:textId="77777777" w:rsidR="00A704AC" w:rsidRDefault="00A704AC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489E443F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A704AC" w14:paraId="12AD32A3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586D45FC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7322B760" w14:textId="77777777" w:rsidR="00A704AC" w:rsidRDefault="00A704A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15E1CE1F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A704AC" w14:paraId="5451412F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197C539C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51A04A95" w14:textId="77777777" w:rsidR="00A704AC" w:rsidRDefault="00A704AC"/>
        </w:tc>
        <w:tc>
          <w:tcPr>
            <w:tcW w:w="2945" w:type="dxa"/>
            <w:shd w:val="clear" w:color="auto" w:fill="F2F2F2"/>
          </w:tcPr>
          <w:p w14:paraId="0D5A17D7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A704AC" w14:paraId="191E30BD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4C3E9D1D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A704AC" w14:paraId="61F84EC6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364075E9" w14:textId="45C30955" w:rsidR="00A704AC" w:rsidRDefault="0048063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IMÓVEL</w:t>
            </w:r>
            <w:r>
              <w:rPr>
                <w:b/>
                <w:sz w:val="24"/>
                <w:szCs w:val="24"/>
              </w:rPr>
              <w:t>, DE SUA RESPONSABILIDADE, EM ESTADO DE MÁ CONSERVAÇÃO DE LIMPEZA, SEM MURO OU CERCA</w:t>
            </w:r>
            <w:r w:rsidR="00767B3B">
              <w:rPr>
                <w:b/>
                <w:sz w:val="24"/>
                <w:szCs w:val="24"/>
              </w:rPr>
              <w:t>, LOCALIZADO NA imovel_endereco_completo</w:t>
            </w:r>
          </w:p>
        </w:tc>
      </w:tr>
      <w:tr w:rsidR="00A704AC" w14:paraId="3AAEF1AD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DF2E7B0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A704AC" w14:paraId="43623EB0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647A502A" w14:textId="10474830" w:rsidR="00A704AC" w:rsidRDefault="0048063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LIMPEZA/DRENAGEM DO IMÓVEL, SEM DEIXAR DE OBSERVAR AS DISPOSIÇÕES DO INIS QUANTO A SUPRESSÃO DE VEGETAÇÃO, EM ESPECIAL AS RELACIONADAS À ÁREAS DE PRESERVAÇÃO PERMANENTE. PROVIDENCIAR, TAMBÉM, A EXECUÇÃO DE MURO OU CERCA (ISTO EVITA QUE TERCEIROS DEPOSITEM LIXO NO IMÓVEL).</w:t>
            </w:r>
          </w:p>
        </w:tc>
      </w:tr>
      <w:tr w:rsidR="00A704AC" w14:paraId="7CFFA481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2B0BC134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A704AC" w14:paraId="7EEA6656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7656E70A" w14:textId="4C07B937" w:rsidR="00A704AC" w:rsidRDefault="0048063C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767B3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TRINTA</w:t>
            </w:r>
            <w:r w:rsidR="00767B3B">
              <w:rPr>
                <w:b/>
                <w:sz w:val="24"/>
                <w:szCs w:val="24"/>
              </w:rPr>
              <w:t>) DIAS, A PARTIR DO RECEBIMENTO DESTA.</w:t>
            </w:r>
          </w:p>
        </w:tc>
      </w:tr>
      <w:tr w:rsidR="00A704AC" w14:paraId="17EE7B68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0164ED41" w14:textId="77777777" w:rsidR="00A704AC" w:rsidRDefault="00A704AC">
            <w:pPr>
              <w:jc w:val="both"/>
              <w:rPr>
                <w:sz w:val="18"/>
                <w:szCs w:val="18"/>
              </w:rPr>
            </w:pPr>
          </w:p>
        </w:tc>
      </w:tr>
      <w:tr w:rsidR="00A704AC" w14:paraId="4851ECDD" w14:textId="77777777">
        <w:tc>
          <w:tcPr>
            <w:tcW w:w="10988" w:type="dxa"/>
            <w:gridSpan w:val="4"/>
          </w:tcPr>
          <w:p w14:paraId="3300FF61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A704AC" w14:paraId="483CEAF8" w14:textId="77777777" w:rsidTr="00767B3B">
        <w:trPr>
          <w:trHeight w:val="3969"/>
        </w:trPr>
        <w:tc>
          <w:tcPr>
            <w:tcW w:w="10988" w:type="dxa"/>
            <w:gridSpan w:val="4"/>
            <w:shd w:val="clear" w:color="auto" w:fill="F2F2F2"/>
          </w:tcPr>
          <w:p w14:paraId="2D96B99B" w14:textId="77777777" w:rsidR="0048063C" w:rsidRDefault="0048063C" w:rsidP="0048063C">
            <w:pPr>
              <w:jc w:val="both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Lei 4313/2005 - Art. 1º - É obrigação legal do proprietário ou possuidor a qualquer título, de imóvel localizado na zona urbana do Município, o dever de conservá-lo e mantê-lo em perfeito estado de limpeza, providenciando a eliminação das águas estagnadas e de quaisquer outros dejetos prejudiciais à saúde e à segurança.</w:t>
            </w:r>
          </w:p>
          <w:p w14:paraId="0A5B367E" w14:textId="77777777" w:rsidR="0048063C" w:rsidRDefault="0048063C" w:rsidP="0048063C">
            <w:pPr>
              <w:jc w:val="both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Parágrafo único. Constatado o não cumprimento das obrigações previstas no caput deste artigo, será o proprietário ou possuidor a qualquer título do imóvel, notificado, e terá o prazo inicial de 30(trinta) dias para satisfazê-las.</w:t>
            </w:r>
          </w:p>
          <w:p w14:paraId="6B5F0AEF" w14:textId="77777777" w:rsidR="0048063C" w:rsidRDefault="0048063C" w:rsidP="0048063C">
            <w:pPr>
              <w:jc w:val="both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Lei 4313/2005 - Art. 2º - Decorridos os 30(trinta) dias da notificação será emitida autuação com multa, segundo a metragem do imóvel, conforme descriminado a seguir:</w:t>
            </w:r>
          </w:p>
          <w:p w14:paraId="383356DB" w14:textId="77777777" w:rsidR="0048063C" w:rsidRDefault="0048063C" w:rsidP="0048063C">
            <w:pPr>
              <w:jc w:val="both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05 UFM - imóveis até 200 m²</w:t>
            </w:r>
          </w:p>
          <w:p w14:paraId="2497D5EB" w14:textId="77777777" w:rsidR="0048063C" w:rsidRDefault="0048063C" w:rsidP="0048063C">
            <w:pPr>
              <w:jc w:val="both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07 UFM - imóveis até 1000 m²</w:t>
            </w:r>
          </w:p>
          <w:p w14:paraId="6FF66159" w14:textId="77777777" w:rsidR="0048063C" w:rsidRDefault="0048063C" w:rsidP="0048063C">
            <w:pPr>
              <w:jc w:val="both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10 UFM - imóveis acima de 1000 m²</w:t>
            </w:r>
          </w:p>
          <w:p w14:paraId="5A019063" w14:textId="77777777" w:rsidR="0048063C" w:rsidRDefault="0048063C" w:rsidP="0048063C">
            <w:pPr>
              <w:jc w:val="both"/>
              <w:rPr>
                <w:i/>
                <w:color w:val="000000"/>
                <w:sz w:val="17"/>
                <w:szCs w:val="17"/>
              </w:rPr>
            </w:pPr>
          </w:p>
          <w:p w14:paraId="090D05F4" w14:textId="77777777" w:rsidR="0048063C" w:rsidRDefault="0048063C" w:rsidP="0048063C">
            <w:pPr>
              <w:jc w:val="both"/>
              <w:rPr>
                <w:i/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>Lei 2734/1992 - Art. 26- Os proprietários de terrenos são obrigados a murá-los ou cercá-los, bem como mantê-los em perfeito estado de limpeza, capinados e drenados.</w:t>
            </w:r>
          </w:p>
          <w:p w14:paraId="53AA08E7" w14:textId="77777777" w:rsidR="0048063C" w:rsidRDefault="0048063C" w:rsidP="0048063C">
            <w:pPr>
              <w:jc w:val="both"/>
              <w:rPr>
                <w:i/>
                <w:color w:val="000000"/>
                <w:sz w:val="17"/>
                <w:szCs w:val="17"/>
              </w:rPr>
            </w:pPr>
          </w:p>
          <w:p w14:paraId="3D2466A7" w14:textId="77777777" w:rsidR="0048063C" w:rsidRDefault="0048063C" w:rsidP="0048063C">
            <w:pPr>
              <w:jc w:val="both"/>
              <w:rPr>
                <w:i/>
                <w:color w:val="000000"/>
                <w:sz w:val="17"/>
                <w:szCs w:val="17"/>
              </w:rPr>
            </w:pPr>
            <w:r>
              <w:rPr>
                <w:i/>
                <w:color w:val="000000"/>
                <w:sz w:val="17"/>
                <w:szCs w:val="17"/>
              </w:rPr>
              <w:t xml:space="preserve">§ 2º - Os muros, cercas e grades frontais terão a altura máxima de </w:t>
            </w:r>
            <w:r>
              <w:rPr>
                <w:i/>
                <w:color w:val="000000"/>
                <w:sz w:val="17"/>
                <w:szCs w:val="17"/>
                <w:u w:val="single"/>
              </w:rPr>
              <w:t>dois metros e quarenta centímetros</w:t>
            </w:r>
            <w:r>
              <w:rPr>
                <w:i/>
                <w:color w:val="000000"/>
                <w:sz w:val="17"/>
                <w:szCs w:val="17"/>
              </w:rPr>
              <w:t>.</w:t>
            </w:r>
          </w:p>
          <w:p w14:paraId="3882DB40" w14:textId="77777777" w:rsidR="0048063C" w:rsidRDefault="0048063C" w:rsidP="0048063C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</w:pPr>
            <w:r>
              <w:rPr>
                <w:rFonts w:ascii="Calibri" w:hAnsi="Calibri" w:cs="Inconsolata-Regular"/>
                <w:i/>
                <w:sz w:val="17"/>
                <w:szCs w:val="17"/>
              </w:rPr>
              <w:t xml:space="preserve">Lei 2734/1992 - Art. 137 - </w:t>
            </w:r>
            <w:r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  <w:t>Na infração de qualquer dispositivo deste Código e demais disposições legais, poderão ser impostas multas correspondentes de 01 (uma) a 100 (cem) UFM’s - Unidades Fiscais do Município, ou seu sucedâneo, em vigor na data da autuação:</w:t>
            </w:r>
          </w:p>
          <w:p w14:paraId="0F220423" w14:textId="77777777" w:rsidR="0048063C" w:rsidRDefault="0048063C" w:rsidP="0048063C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</w:pPr>
          </w:p>
          <w:p w14:paraId="2D12E08A" w14:textId="27057D0C" w:rsidR="00A704AC" w:rsidRDefault="0048063C" w:rsidP="00480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rFonts w:eastAsiaTheme="minorHAnsi" w:cs="Inconsolata-Regular"/>
                <w:i/>
                <w:sz w:val="17"/>
                <w:szCs w:val="17"/>
                <w:lang w:eastAsia="en-US"/>
              </w:rPr>
              <w:t xml:space="preserve">I - de 01 (uma) a 65 (sessenta e cinco), nos casos de higiene dos passeios e não construção dos mesmos, e higiene dos logradouros públicos, habitações em geral, edificações na área rural, hospitais, casas de saúde e maternidades, prevenção sanitária nos campos desportivos, limpeza de terrenos não edificados e respectivas comunicações, </w:t>
            </w:r>
            <w:r>
              <w:rPr>
                <w:rFonts w:eastAsiaTheme="minorHAnsi" w:cs="Inconsolata-Regular"/>
                <w:i/>
                <w:sz w:val="17"/>
                <w:szCs w:val="17"/>
                <w:u w:val="single"/>
                <w:lang w:eastAsia="en-US"/>
              </w:rPr>
              <w:t>fechamento do terreno não edificado por muros e cercas</w:t>
            </w:r>
            <w:r>
              <w:rPr>
                <w:rFonts w:eastAsiaTheme="minorHAnsi" w:cs="Inconsolata-Regular"/>
                <w:i/>
                <w:sz w:val="17"/>
                <w:szCs w:val="17"/>
                <w:lang w:eastAsia="en-US"/>
              </w:rPr>
              <w:t>, limpeza e desobstrução dos cursos de água e das valas;</w:t>
            </w:r>
          </w:p>
        </w:tc>
      </w:tr>
      <w:tr w:rsidR="00A704AC" w14:paraId="2878DDBE" w14:textId="77777777">
        <w:trPr>
          <w:trHeight w:val="1988"/>
        </w:trPr>
        <w:tc>
          <w:tcPr>
            <w:tcW w:w="5637" w:type="dxa"/>
          </w:tcPr>
          <w:p w14:paraId="640F07F4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2FB11001" w14:textId="77777777" w:rsidR="00A704AC" w:rsidRDefault="00A704AC">
            <w:pPr>
              <w:rPr>
                <w:b/>
              </w:rPr>
            </w:pPr>
          </w:p>
          <w:p w14:paraId="36BFD393" w14:textId="77777777" w:rsidR="00A704AC" w:rsidRDefault="00A704AC">
            <w:pPr>
              <w:rPr>
                <w:b/>
              </w:rPr>
            </w:pPr>
          </w:p>
          <w:p w14:paraId="782486BD" w14:textId="77777777" w:rsidR="00A704AC" w:rsidRDefault="00767B3B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2C5206C9" w14:textId="77777777" w:rsidR="00A704AC" w:rsidRDefault="00767B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61DB05E3" w14:textId="77777777" w:rsidR="00A704AC" w:rsidRDefault="00767B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2A7DD080" w14:textId="77777777" w:rsidR="00A704AC" w:rsidRDefault="00A704AC">
            <w:pPr>
              <w:jc w:val="center"/>
              <w:rPr>
                <w:b/>
              </w:rPr>
            </w:pPr>
          </w:p>
          <w:p w14:paraId="37B47BB8" w14:textId="77777777" w:rsidR="00A704AC" w:rsidRDefault="00A704AC">
            <w:pPr>
              <w:rPr>
                <w:b/>
              </w:rPr>
            </w:pPr>
          </w:p>
          <w:p w14:paraId="21FB04AF" w14:textId="77777777" w:rsidR="00A704AC" w:rsidRDefault="00A704AC">
            <w:pPr>
              <w:jc w:val="center"/>
              <w:rPr>
                <w:b/>
              </w:rPr>
            </w:pPr>
          </w:p>
          <w:p w14:paraId="35EF61F3" w14:textId="77777777" w:rsidR="00A704AC" w:rsidRDefault="00767B3B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B8D7FD8" w14:textId="77777777" w:rsidR="00A704AC" w:rsidRDefault="00767B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3E6E4FC5" w14:textId="77777777" w:rsidR="00A704AC" w:rsidRDefault="00767B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28F70B4A" w14:textId="77777777" w:rsidR="00A704AC" w:rsidRDefault="0044560F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767B3B">
              <w:rPr>
                <w:b/>
                <w:sz w:val="18"/>
                <w:szCs w:val="18"/>
              </w:rPr>
              <w:t>afm_matricula</w:t>
            </w:r>
          </w:p>
        </w:tc>
      </w:tr>
      <w:tr w:rsidR="00A704AC" w14:paraId="7BC8145E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3FDF7CEB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45C2418D" w14:textId="77777777" w:rsidR="00A704AC" w:rsidRDefault="00A704AC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A704AC" w14:paraId="2E3D05BB" w14:textId="77777777">
        <w:trPr>
          <w:trHeight w:val="284"/>
        </w:trPr>
        <w:tc>
          <w:tcPr>
            <w:tcW w:w="10988" w:type="dxa"/>
            <w:gridSpan w:val="3"/>
          </w:tcPr>
          <w:p w14:paraId="48598B2D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A704AC" w14:paraId="1CA3D10A" w14:textId="77777777">
        <w:trPr>
          <w:trHeight w:val="284"/>
        </w:trPr>
        <w:tc>
          <w:tcPr>
            <w:tcW w:w="10988" w:type="dxa"/>
            <w:gridSpan w:val="3"/>
          </w:tcPr>
          <w:p w14:paraId="76119C3D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A704AC" w14:paraId="18AE67F3" w14:textId="77777777">
        <w:trPr>
          <w:trHeight w:val="284"/>
        </w:trPr>
        <w:tc>
          <w:tcPr>
            <w:tcW w:w="3226" w:type="dxa"/>
          </w:tcPr>
          <w:p w14:paraId="5397304B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6A2487E8" w14:textId="77777777" w:rsidR="00A704AC" w:rsidRDefault="00767B3B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167EC73F" w14:textId="77777777" w:rsidR="00A704AC" w:rsidRDefault="00767B3B">
            <w:r>
              <w:rPr>
                <w:b/>
              </w:rPr>
              <w:t xml:space="preserve">CÓDIGO DE RASTREAMENTO: </w:t>
            </w:r>
          </w:p>
        </w:tc>
      </w:tr>
    </w:tbl>
    <w:p w14:paraId="75D68142" w14:textId="77777777" w:rsidR="00A704AC" w:rsidRDefault="00A704AC">
      <w:pPr>
        <w:spacing w:after="0" w:line="240" w:lineRule="auto"/>
      </w:pPr>
    </w:p>
    <w:sectPr w:rsidR="00A704AC" w:rsidSect="00A704AC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AC"/>
    <w:rsid w:val="0044560F"/>
    <w:rsid w:val="004728DF"/>
    <w:rsid w:val="0048063C"/>
    <w:rsid w:val="00767B3B"/>
    <w:rsid w:val="00944E43"/>
    <w:rsid w:val="00A7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84E4B"/>
  <w15:docId w15:val="{549B05D3-FBB8-4293-8E1C-6E26729E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A704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A704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A704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A704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704A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704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704AC"/>
  </w:style>
  <w:style w:type="table" w:customStyle="1" w:styleId="TableNormal">
    <w:name w:val="Table Normal"/>
    <w:rsid w:val="00A704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704AC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A70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67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k+IFVui7tfkvoGrp8sz0WFTRw==">AMUW2mVmbEfajhz/dWPEJ98W98+xe49fqPaJr6cdVokA2MhTRYLqGfxXPdVXyIvey5gKgzFLQXwrFnAz3Mofr4iJHb68csdHKfYwq/o/ejZzLUeMbUH8J5Q=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5</cp:revision>
  <dcterms:created xsi:type="dcterms:W3CDTF">2021-05-04T18:56:00Z</dcterms:created>
  <dcterms:modified xsi:type="dcterms:W3CDTF">2021-07-05T14:42:00Z</dcterms:modified>
</cp:coreProperties>
</file>