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客货邮项目交接文档</w:t>
      </w:r>
    </w:p>
    <w:p>
      <w:r>
        <w:t>说明：以下内容整理自仓库三个子项目，适合作为与导师交接时的项目概览与进展说明。</w:t>
      </w:r>
    </w:p>
    <w:p>
      <w:r>
        <w:rPr>
          <w:b/>
          <w:sz w:val="26"/>
        </w:rPr>
        <w:t>一、项目背景与目标</w:t>
      </w:r>
    </w:p>
    <w:p>
      <w:r>
        <w:t>本仓库为“客货邮运营合规性异常检测与线路牌OCR信息提取”的横向合作项目合集。目标是形成可落地的异常检测服务与OCR结构化抽取能力，并为后续接入真实业务数据与应用系统提供可运行原型与技术路线参考。</w:t>
      </w:r>
    </w:p>
    <w:p>
      <w:r>
        <w:rPr>
          <w:b/>
          <w:sz w:val="26"/>
        </w:rPr>
        <w:t>二、仓库结构</w:t>
      </w:r>
    </w:p>
    <w:p>
      <w:r>
        <w:t>1. khy-abnormal-analysis-service-v7-cross-region：跨区域/服务范围外运行检测整合项目（V7.1）。</w:t>
      </w:r>
    </w:p>
    <w:p>
      <w:r>
        <w:t>2. ky-trajectory-abnormal-service-executable：车辆轨迹异常检测独立项目（可运行、已完整）。</w:t>
      </w:r>
    </w:p>
    <w:p>
      <w:r>
        <w:t>3. route_ocr_project：线路牌OCR信息抽取项目（实验性模型）。</w:t>
      </w:r>
    </w:p>
    <w:p>
      <w:r>
        <w:rPr>
          <w:b/>
          <w:sz w:val="26"/>
        </w:rPr>
        <w:t>三、子项目交接</w:t>
      </w:r>
    </w:p>
    <w:p>
      <w:r>
        <w:rPr>
          <w:b/>
          <w:sz w:val="24"/>
        </w:rPr>
        <w:t>1）khy-abnormal-analysis-service-v7-cross-region（跨区域检测整合项目）</w:t>
      </w:r>
    </w:p>
    <w:p>
      <w:r>
        <w:t>定位与功能：在 V6 架构基础上新增“车辆服务范围外运行”检测，并支持坐标系统一处理（站点GCJ-02，轨迹WGS84→GCJ-02）。</w:t>
      </w:r>
    </w:p>
    <w:p>
      <w:r>
        <w:t>当前进度：已完成数据库连接初步配置，可跑通；真实检测需在 application.yml 配置 khy.abnormal.datasource。</w:t>
      </w:r>
    </w:p>
    <w:p>
      <w:r>
        <w:t>关键文档/代码：README、docs 目录、sql/cross-region-v7.sql。</w:t>
      </w:r>
    </w:p>
    <w:p>
      <w:r>
        <w:t>启动方式：mvn spring-boot:run。</w:t>
      </w:r>
    </w:p>
    <w:p>
      <w:r>
        <w:t>关键接口：POST /api/anomaly/tasks/run；GET /api/anomaly/list?objectType=VEHICLE&amp;subtype=疑似线路服务范围外运行；GET /api/detection/detectors；GET /api/detection/flows/{flowCode}/nodes。</w:t>
      </w:r>
    </w:p>
    <w:p>
      <w:r>
        <w:t>技术要点：coordinate-mode=GCJ02；gps-raw-coordinate-mode=WGS84（后端自动转换）；优先使用 vehicle_gps_points.glng/glat。</w:t>
      </w:r>
    </w:p>
    <w:p>
      <w:r>
        <w:t>待办/风险：真实数据源接入、数据仓储替换、数据库表结构与业务口径确认。</w:t>
      </w:r>
    </w:p>
    <w:p>
      <w:r>
        <w:rPr>
          <w:b/>
          <w:sz w:val="24"/>
        </w:rPr>
        <w:t>2）ky-trajectory-abnormal-service-executable（轨迹异常检测完整项目）</w:t>
      </w:r>
    </w:p>
    <w:p>
      <w:r>
        <w:t>定位与功能：展示“GPS轨迹规律性 + 过站一致性核验 + 双证据融合判定”的完整流程。</w:t>
      </w:r>
    </w:p>
    <w:p>
      <w:r>
        <w:t>当前进度：项目完整可运行，内置模拟数据，适合作为演示、算法验证与真实数据接入基础模板。</w:t>
      </w:r>
    </w:p>
    <w:p>
      <w:r>
        <w:t>启动方式：mvn spring-boot:run（默认端口8088）。</w:t>
      </w:r>
    </w:p>
    <w:p>
      <w:r>
        <w:t>关键接口：POST /api/analysis/tasks/run-daily?statDate=YYYY-MM-DD；GET /api/analysis/vehicles/abnormal?statDate=YYYY-MM-DD；GET /api/analysis/vehicles/abnormal?statDate=YYYY-MM-DD&amp;level=HIGH_RISK；GET /api/analysis/vehicles/{vehicleId}/abnormal-detail?statDate=YYYY-MM-DD；GET /api/analysis/config/trajectory。</w:t>
      </w:r>
    </w:p>
    <w:p>
      <w:r>
        <w:t>待办/风险：替换 Mock 适配器、内存仓储替换为数据库、与业务复核结果联动阈值调整。</w:t>
      </w:r>
    </w:p>
    <w:p>
      <w:r>
        <w:rPr>
          <w:b/>
          <w:sz w:val="24"/>
        </w:rPr>
        <w:t>3）route_ocr_project（线路牌OCR信息抽取）</w:t>
      </w:r>
    </w:p>
    <w:p>
      <w:r>
        <w:t>定位与功能：针对“客货邮融合线路及走向图”照片，抽取线路名称、站点、班次等结构化信息。</w:t>
      </w:r>
    </w:p>
    <w:p>
      <w:r>
        <w:t>当前进度：模型为实验性简单版本，仍需优化。</w:t>
      </w:r>
    </w:p>
    <w:p>
      <w:r>
        <w:t>运行方式：python -m route_ocr.extract --image ./examples/test.jpg --out result.json --debug-dir debug。</w:t>
      </w:r>
    </w:p>
    <w:p>
      <w:r>
        <w:t>技术要点：OpenCV 自动裁剪与增强、PaddleOCR/PP-OCRv5 识别、按文本框几何位置划分内容。</w:t>
      </w:r>
    </w:p>
    <w:p>
      <w:r>
        <w:t>待办/风险：识别准确率与复杂场景鲁棒性待提升，需要积累标注数据与错误样例进行迭代。</w:t>
      </w:r>
    </w:p>
    <w:p>
      <w:r>
        <w:rPr>
          <w:b/>
          <w:sz w:val="26"/>
        </w:rPr>
        <w:t>四、已完成工作</w:t>
      </w:r>
    </w:p>
    <w:p>
      <w:r>
        <w:t>1. 跨区域检测整合项目数据库连接初步配置并可跑通。</w:t>
      </w:r>
    </w:p>
    <w:p>
      <w:r>
        <w:t>2. 对三个子项目的结构与运行方式进行了整理。</w:t>
      </w:r>
    </w:p>
    <w:p>
      <w:r>
        <w:rPr>
          <w:b/>
          <w:sz w:val="26"/>
        </w:rPr>
        <w:t>五、待导师确认/决策事项</w:t>
      </w:r>
    </w:p>
    <w:p>
      <w:r>
        <w:t>1. 跨区域检测与轨迹异常检测项目的真实数据源接入方式（API/数据库）。</w:t>
      </w:r>
    </w:p>
    <w:p>
      <w:r>
        <w:t>2. 业务口径与阈值策略，尤其是跨区域/服务范围外判定。</w:t>
      </w:r>
    </w:p>
    <w:p>
      <w:r>
        <w:t>3. OCR项目是继续作为工具模块优化，还是先行试点。</w:t>
      </w:r>
    </w:p>
    <w:p>
      <w:r>
        <w:rPr>
          <w:b/>
          <w:sz w:val="26"/>
        </w:rPr>
        <w:t>六、交接清单（建议导师验收）</w:t>
      </w:r>
    </w:p>
    <w:p>
      <w:r>
        <w:t>1. 三个项目启动流程是否顺畅。</w:t>
      </w:r>
    </w:p>
    <w:p>
      <w:r>
        <w:t>2. 跨区域检测接口与数据库连接是否符合实际环境。</w:t>
      </w:r>
    </w:p>
    <w:p>
      <w:r>
        <w:t>3. 轨迹异常检测是否需要对接真实系统替换 Mock。</w:t>
      </w:r>
    </w:p>
    <w:p>
      <w:r>
        <w:t>4. OCR输出格式是否满足业务入库或人工校验需求。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