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3519" w14:textId="6144EC34" w:rsidR="00AC3F5B" w:rsidRPr="00AC3F5B" w:rsidRDefault="00AC3F5B" w:rsidP="00AC3F5B">
      <w:pPr>
        <w:pStyle w:val="NoSpacing"/>
        <w:rPr>
          <w:b/>
          <w:bCs/>
          <w:sz w:val="36"/>
          <w:szCs w:val="36"/>
          <w:lang w:val="de-DE"/>
        </w:rPr>
      </w:pPr>
      <w:r w:rsidRPr="00AC3F5B">
        <w:rPr>
          <w:b/>
          <w:bCs/>
          <w:sz w:val="36"/>
          <w:szCs w:val="36"/>
          <w:lang w:val="de-DE"/>
        </w:rPr>
        <w:t>Phosprot Regulation Plot Manual</w:t>
      </w:r>
    </w:p>
    <w:p w14:paraId="23EEBC80" w14:textId="77777777" w:rsidR="00AC3F5B" w:rsidRPr="00AC3F5B" w:rsidRDefault="00AC3F5B" w:rsidP="00AC3F5B">
      <w:pPr>
        <w:pStyle w:val="NoSpacing"/>
        <w:rPr>
          <w:b/>
          <w:bCs/>
          <w:lang w:val="de-DE"/>
        </w:rPr>
      </w:pPr>
    </w:p>
    <w:p w14:paraId="6F47A083" w14:textId="3F5F3C23" w:rsidR="00AC3F5B" w:rsidRPr="00AC3F5B" w:rsidRDefault="00AC3F5B" w:rsidP="00AC3F5B">
      <w:pPr>
        <w:pStyle w:val="NoSpacing"/>
        <w:rPr>
          <w:b/>
          <w:bCs/>
          <w:lang w:val="de-DE"/>
        </w:rPr>
      </w:pPr>
      <w:r w:rsidRPr="00AC3F5B">
        <w:rPr>
          <w:b/>
          <w:bCs/>
          <w:lang w:val="de-DE"/>
        </w:rPr>
        <w:t>1. User Interface (UI)</w:t>
      </w:r>
    </w:p>
    <w:p w14:paraId="759BEA27" w14:textId="77777777" w:rsidR="00AC3F5B" w:rsidRDefault="00AC3F5B" w:rsidP="00AC3F5B">
      <w:pPr>
        <w:pStyle w:val="NoSpacing"/>
        <w:rPr>
          <w:lang w:val="de-DE"/>
        </w:rPr>
      </w:pPr>
    </w:p>
    <w:p w14:paraId="70E5A18E" w14:textId="77777777" w:rsidR="00AC3F5B" w:rsidRDefault="00AC3F5B" w:rsidP="00AC3F5B">
      <w:pPr>
        <w:pStyle w:val="NoSpacing"/>
      </w:pPr>
      <w:r w:rsidRPr="007957F7">
        <w:t>In the upper-right section of the user interface, you will find a set of controls for customizing the plot:</w:t>
      </w:r>
    </w:p>
    <w:p w14:paraId="3473B9DA" w14:textId="77777777" w:rsidR="00AC3F5B" w:rsidRDefault="00AC3F5B" w:rsidP="00AC3F5B">
      <w:pPr>
        <w:pStyle w:val="NoSpacing"/>
      </w:pPr>
    </w:p>
    <w:p w14:paraId="69EB28B6" w14:textId="77777777" w:rsidR="00AC3F5B" w:rsidRDefault="00AC3F5B" w:rsidP="00AC3F5B">
      <w:pPr>
        <w:pStyle w:val="NoSpacing"/>
        <w:numPr>
          <w:ilvl w:val="0"/>
          <w:numId w:val="1"/>
        </w:numPr>
        <w:jc w:val="both"/>
      </w:pPr>
      <w:r w:rsidRPr="00C108B6">
        <w:rPr>
          <w:b/>
          <w:bCs/>
        </w:rPr>
        <w:t xml:space="preserve">P-value threshold: </w:t>
      </w:r>
      <w:r w:rsidRPr="00C108B6">
        <w:t>Defines the statistical cutoff for significance. Features with adjusted p-values below this threshold are considered significantly different between the two selected conditions.</w:t>
      </w:r>
    </w:p>
    <w:p w14:paraId="7D85C639" w14:textId="77777777" w:rsidR="00AC3F5B" w:rsidRDefault="00AC3F5B" w:rsidP="00AC3F5B">
      <w:pPr>
        <w:pStyle w:val="NoSpacing"/>
        <w:numPr>
          <w:ilvl w:val="0"/>
          <w:numId w:val="1"/>
        </w:numPr>
        <w:jc w:val="both"/>
      </w:pPr>
      <w:r w:rsidRPr="00C108B6">
        <w:rPr>
          <w:b/>
          <w:bCs/>
        </w:rPr>
        <w:t xml:space="preserve">Log2 FC threshold: </w:t>
      </w:r>
      <w:r w:rsidRPr="00C108B6">
        <w:t>Specifies the minimum absolute log₂ fold change required for calling a feature up- or downregulated. Only features exceeding this magnitude and meeting the p-value criterion are labeled significant.</w:t>
      </w:r>
    </w:p>
    <w:p w14:paraId="10127F6E" w14:textId="77777777" w:rsidR="00AC3F5B" w:rsidRPr="00FE3C0F" w:rsidRDefault="00AC3F5B" w:rsidP="00AC3F5B">
      <w:pPr>
        <w:pStyle w:val="NoSpacing"/>
        <w:numPr>
          <w:ilvl w:val="0"/>
          <w:numId w:val="1"/>
        </w:numPr>
        <w:jc w:val="both"/>
      </w:pPr>
      <w:r w:rsidRPr="00C108B6">
        <w:rPr>
          <w:b/>
          <w:bCs/>
        </w:rPr>
        <w:t xml:space="preserve">Use uncorrected p-values: </w:t>
      </w:r>
      <w:r w:rsidRPr="00C108B6">
        <w:t>When enabled, significance is determined using raw p-values instead of FDR-adjusted values. This removes multiple-testing correction and applies the threshold directly to the unadjusted test statistic.</w:t>
      </w:r>
    </w:p>
    <w:p w14:paraId="30AF6937" w14:textId="63997EA9" w:rsidR="00AC3F5B" w:rsidRDefault="00AC3F5B" w:rsidP="00AC3F5B">
      <w:pPr>
        <w:pStyle w:val="NoSpacing"/>
        <w:numPr>
          <w:ilvl w:val="0"/>
          <w:numId w:val="1"/>
        </w:numPr>
        <w:jc w:val="both"/>
      </w:pPr>
      <w:r>
        <w:rPr>
          <w:b/>
          <w:bCs/>
        </w:rPr>
        <w:t>Show phosphosites in hover</w:t>
      </w:r>
      <w:r w:rsidRPr="00C108B6">
        <w:rPr>
          <w:b/>
          <w:bCs/>
        </w:rPr>
        <w:t xml:space="preserve">: </w:t>
      </w:r>
      <w:r w:rsidR="007F2B13" w:rsidRPr="007F2B13">
        <w:t>When enabled, the interactive scatter plot includes phosphosite-level detail in the hover tooltips. Up- and downregulated sites are listed per protein, truncated when necessary to avoid overly long labels.</w:t>
      </w:r>
    </w:p>
    <w:p w14:paraId="54643D0B" w14:textId="77777777" w:rsidR="00AC3F5B" w:rsidRDefault="00AC3F5B" w:rsidP="00AC3F5B">
      <w:pPr>
        <w:pStyle w:val="NoSpacing"/>
        <w:numPr>
          <w:ilvl w:val="0"/>
          <w:numId w:val="1"/>
        </w:numPr>
        <w:jc w:val="both"/>
      </w:pPr>
      <w:r w:rsidRPr="00C108B6">
        <w:rPr>
          <w:b/>
          <w:bCs/>
        </w:rPr>
        <w:t>Test Type</w:t>
      </w:r>
      <w:r w:rsidRPr="007957F7">
        <w:t>:</w:t>
      </w:r>
      <w:r>
        <w:t xml:space="preserve"> </w:t>
      </w:r>
      <w:r w:rsidRPr="00C108B6">
        <w:t>Selects the statistical testing framework used to compute differential abundance</w:t>
      </w:r>
      <w:r>
        <w:t>:</w:t>
      </w:r>
    </w:p>
    <w:p w14:paraId="2486B593" w14:textId="77777777" w:rsidR="00AC3F5B" w:rsidRDefault="00AC3F5B" w:rsidP="00AC3F5B">
      <w:pPr>
        <w:pStyle w:val="NoSpacing"/>
        <w:numPr>
          <w:ilvl w:val="1"/>
          <w:numId w:val="1"/>
        </w:numPr>
        <w:jc w:val="both"/>
      </w:pPr>
      <w:r w:rsidRPr="00C108B6">
        <w:rPr>
          <w:b/>
          <w:bCs/>
        </w:rPr>
        <w:t>Unpaired</w:t>
      </w:r>
      <w:r>
        <w:t xml:space="preserve"> –  p</w:t>
      </w:r>
      <w:r w:rsidRPr="00C108B6">
        <w:t>erforms an independent-samples t-test, using pooled variance and appropriate degrees of freedom.</w:t>
      </w:r>
    </w:p>
    <w:p w14:paraId="5EF0956D" w14:textId="77777777" w:rsidR="00AC3F5B" w:rsidRDefault="00AC3F5B" w:rsidP="00AC3F5B">
      <w:pPr>
        <w:pStyle w:val="NoSpacing"/>
        <w:numPr>
          <w:ilvl w:val="1"/>
          <w:numId w:val="1"/>
        </w:numPr>
        <w:jc w:val="both"/>
      </w:pPr>
      <w:r w:rsidRPr="00C108B6">
        <w:rPr>
          <w:b/>
          <w:bCs/>
        </w:rPr>
        <w:t>Single</w:t>
      </w:r>
      <w:r>
        <w:t xml:space="preserve"> –  c</w:t>
      </w:r>
      <w:r w:rsidRPr="00C108B6">
        <w:t>omputes within-sample differences and applies a paired t-test to the resulting vector of differences.</w:t>
      </w:r>
    </w:p>
    <w:p w14:paraId="4F461CA4" w14:textId="77777777" w:rsidR="00AC3F5B" w:rsidRDefault="00AC3F5B" w:rsidP="00AC3F5B">
      <w:pPr>
        <w:pStyle w:val="NoSpacing"/>
        <w:numPr>
          <w:ilvl w:val="0"/>
          <w:numId w:val="1"/>
        </w:numPr>
        <w:jc w:val="both"/>
      </w:pPr>
      <w:r w:rsidRPr="00FE3C0F">
        <w:rPr>
          <w:b/>
          <w:bCs/>
        </w:rPr>
        <w:t>Condition 1:</w:t>
      </w:r>
      <w:r>
        <w:t xml:space="preserve"> </w:t>
      </w:r>
      <w:r w:rsidRPr="00C108B6">
        <w:t>Specifies the first condition to be compared; all samples belonging to this group form the reference distribution.</w:t>
      </w:r>
    </w:p>
    <w:p w14:paraId="4FC59E10" w14:textId="77777777" w:rsidR="00AC3F5B" w:rsidRPr="007957F7" w:rsidRDefault="00AC3F5B" w:rsidP="00AC3F5B">
      <w:pPr>
        <w:pStyle w:val="NoSpacing"/>
        <w:numPr>
          <w:ilvl w:val="0"/>
          <w:numId w:val="1"/>
        </w:numPr>
        <w:jc w:val="both"/>
      </w:pPr>
      <w:r w:rsidRPr="00C108B6">
        <w:rPr>
          <w:b/>
          <w:bCs/>
        </w:rPr>
        <w:t>Condition 2:</w:t>
      </w:r>
      <w:r>
        <w:t xml:space="preserve"> </w:t>
      </w:r>
      <w:r w:rsidRPr="00C108B6">
        <w:t>Specifies the second condition; feature intensities from this group are contrasted with Condition 1 to compute log₂ fold changes and t-statistics.</w:t>
      </w:r>
    </w:p>
    <w:p w14:paraId="7F585C94" w14:textId="3FFE56C9" w:rsidR="00AC3F5B" w:rsidRDefault="00AC3F5B" w:rsidP="00AC3F5B">
      <w:pPr>
        <w:pStyle w:val="NoSpacing"/>
      </w:pPr>
    </w:p>
    <w:p w14:paraId="093C626D" w14:textId="7036E597" w:rsidR="00AC3F5B" w:rsidRPr="00AC3F5B" w:rsidRDefault="00AC3F5B" w:rsidP="00AC3F5B">
      <w:pPr>
        <w:pStyle w:val="NoSpacing"/>
        <w:rPr>
          <w:b/>
          <w:bCs/>
        </w:rPr>
      </w:pPr>
      <w:r w:rsidRPr="00AC3F5B">
        <w:rPr>
          <w:b/>
          <w:bCs/>
        </w:rPr>
        <w:t>2. Phosprot Regulation Plot</w:t>
      </w:r>
    </w:p>
    <w:p w14:paraId="3E7E9648" w14:textId="77777777" w:rsidR="00AC3F5B" w:rsidRDefault="00AC3F5B" w:rsidP="00AC3F5B">
      <w:pPr>
        <w:pStyle w:val="NoSpacing"/>
      </w:pPr>
    </w:p>
    <w:p w14:paraId="720611C0" w14:textId="645EDB93" w:rsidR="009D3A42" w:rsidRDefault="009D3A42" w:rsidP="008B2234">
      <w:pPr>
        <w:pStyle w:val="NoSpacing"/>
        <w:jc w:val="both"/>
      </w:pPr>
      <w:r w:rsidRPr="009D3A42">
        <w:t xml:space="preserve">The </w:t>
      </w:r>
      <w:r w:rsidRPr="009D3A42">
        <w:rPr>
          <w:b/>
          <w:bCs/>
        </w:rPr>
        <w:t>Protein-level Phosphosite Regulation</w:t>
      </w:r>
      <w:r w:rsidRPr="009D3A42">
        <w:t xml:space="preserve"> module provides an interactive view of differential phosphorylation at the protein level, aggregating information from individual phosphosites. This analysis allows users to identify proteins with up- or downregulated phosphorylation between two selected conditions and to explore how multiple phosphosites contribute to these changes.</w:t>
      </w:r>
    </w:p>
    <w:p w14:paraId="40CA1964" w14:textId="77777777" w:rsidR="009D3A42" w:rsidRDefault="009D3A42" w:rsidP="009D3A42">
      <w:pPr>
        <w:pStyle w:val="NoSpacing"/>
      </w:pPr>
    </w:p>
    <w:p w14:paraId="6DE3EEC1" w14:textId="5BDF53B7" w:rsidR="009D3A42" w:rsidRDefault="009D3A42" w:rsidP="009D3A42">
      <w:pPr>
        <w:pStyle w:val="NoSpacing"/>
        <w:numPr>
          <w:ilvl w:val="0"/>
          <w:numId w:val="1"/>
        </w:numPr>
        <w:jc w:val="both"/>
      </w:pPr>
      <w:proofErr w:type="spellStart"/>
      <w:r w:rsidRPr="009D3A42">
        <w:rPr>
          <w:b/>
          <w:bCs/>
        </w:rPr>
        <w:t>phosprot_regulation</w:t>
      </w:r>
      <w:proofErr w:type="spellEnd"/>
      <w:r w:rsidRPr="009D3A42">
        <w:t xml:space="preserve"> – Generates an interactive scatter plot summarizing phosphosite-level regulation at the protein scale. For each protein, the function computes log₂ fold changes between the selected conditions and performs statistical testing to identify significant differences. Up- and downregulated phosphosites are aggregated per protein, and their summed log₂ intensities are used to define the coordinates of the plot. Each point represents one protein, with optional hover information displaying the counts and identifiers of contributing phosphosites.</w:t>
      </w:r>
    </w:p>
    <w:p w14:paraId="664FCB55" w14:textId="77777777" w:rsidR="009D3A42" w:rsidRDefault="009D3A42" w:rsidP="009D3A42">
      <w:pPr>
        <w:pStyle w:val="NoSpacing"/>
        <w:jc w:val="both"/>
      </w:pPr>
    </w:p>
    <w:p w14:paraId="092BAA93" w14:textId="77777777" w:rsidR="009D3A42" w:rsidRPr="009D3A42" w:rsidRDefault="009D3A42" w:rsidP="009D3A42">
      <w:pPr>
        <w:pStyle w:val="NoSpacing"/>
      </w:pPr>
    </w:p>
    <w:p w14:paraId="31A5BFE9" w14:textId="600691B9" w:rsidR="009D3A42" w:rsidRDefault="009D3A42" w:rsidP="008B2234">
      <w:pPr>
        <w:pStyle w:val="NoSpacing"/>
        <w:jc w:val="both"/>
      </w:pPr>
      <w:r w:rsidRPr="009D3A42">
        <w:rPr>
          <w:b/>
          <w:bCs/>
        </w:rPr>
        <w:lastRenderedPageBreak/>
        <w:t>Important:</w:t>
      </w:r>
      <w:r w:rsidRPr="009D3A42">
        <w:t xml:space="preserve"> The function itself does not impose any significance cutoff. Log₂ fold changes and p-values are calculated for all </w:t>
      </w:r>
      <w:r>
        <w:t>phosphosites but not utilized in this version of the function.</w:t>
      </w:r>
    </w:p>
    <w:p w14:paraId="53CCBC98" w14:textId="77777777" w:rsidR="009D3A42" w:rsidRDefault="009D3A42" w:rsidP="009D3A42">
      <w:pPr>
        <w:pStyle w:val="NoSpacing"/>
      </w:pPr>
    </w:p>
    <w:p w14:paraId="7A3E00EB" w14:textId="22DC8D51" w:rsidR="009D3A42" w:rsidRDefault="009D3A42" w:rsidP="009D3A42">
      <w:pPr>
        <w:pStyle w:val="NoSpacing"/>
      </w:pPr>
      <w:r w:rsidRPr="009D3A42">
        <w:drawing>
          <wp:inline distT="0" distB="0" distL="0" distR="0" wp14:anchorId="02261AFF" wp14:editId="500E1B69">
            <wp:extent cx="5760720" cy="2390775"/>
            <wp:effectExtent l="0" t="0" r="0" b="9525"/>
            <wp:docPr id="88021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7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1E0B" w14:textId="0AB2DFF9" w:rsidR="009D3A42" w:rsidRPr="009D3A42" w:rsidRDefault="009D3A42" w:rsidP="009D3A42">
      <w:pPr>
        <w:pStyle w:val="NoSpacing"/>
        <w:rPr>
          <w:sz w:val="16"/>
          <w:szCs w:val="16"/>
        </w:rPr>
      </w:pPr>
      <w:r w:rsidRPr="009D3A42">
        <w:rPr>
          <w:sz w:val="16"/>
          <w:szCs w:val="16"/>
        </w:rPr>
        <w:t>Figure 1: Protein-level Phossite Regulation Plot showing up- and downregulated phosphosites aggregated on phosphoproteins split in their positive and negative contributions.</w:t>
      </w:r>
    </w:p>
    <w:p w14:paraId="6D21ECEE" w14:textId="77777777" w:rsidR="009D3A42" w:rsidRDefault="009D3A42" w:rsidP="009D3A42">
      <w:pPr>
        <w:pStyle w:val="NoSpacing"/>
      </w:pPr>
    </w:p>
    <w:p w14:paraId="5756E87A" w14:textId="3EC02A42" w:rsidR="009D3A42" w:rsidRDefault="009D3A42" w:rsidP="00814D27">
      <w:pPr>
        <w:pStyle w:val="NoSpacing"/>
        <w:jc w:val="both"/>
      </w:pPr>
      <w:r w:rsidRPr="009D3A42">
        <w:t xml:space="preserve">The resulting scatter plot positions each protein according to its total upregulated (x-axis) and downregulated (y-axis) phosphosite contributions. Points are colored along a gradient reflecting the relative balance between up- and </w:t>
      </w:r>
      <w:proofErr w:type="gramStart"/>
      <w:r w:rsidRPr="009D3A42">
        <w:t>downregulation</w:t>
      </w:r>
      <w:proofErr w:type="gramEnd"/>
      <w:r w:rsidRPr="009D3A42">
        <w:t>. Hovering over a protein reveals detailed site-level information, including the number of up- and downregulated phosphosites and their identifiers, truncated if necessary to maintain readability.</w:t>
      </w:r>
    </w:p>
    <w:p w14:paraId="639A3C43" w14:textId="77777777" w:rsidR="009D3A42" w:rsidRPr="009D3A42" w:rsidRDefault="009D3A42" w:rsidP="00814D27">
      <w:pPr>
        <w:pStyle w:val="NoSpacing"/>
        <w:jc w:val="both"/>
      </w:pPr>
    </w:p>
    <w:p w14:paraId="3C218549" w14:textId="77777777" w:rsidR="009D3A42" w:rsidRDefault="009D3A42" w:rsidP="00814D27">
      <w:pPr>
        <w:pStyle w:val="NoSpacing"/>
        <w:jc w:val="both"/>
      </w:pPr>
      <w:r w:rsidRPr="009D3A42">
        <w:t>This visualization allows users to:</w:t>
      </w:r>
    </w:p>
    <w:p w14:paraId="328FB91F" w14:textId="77777777" w:rsidR="009D3A42" w:rsidRPr="009D3A42" w:rsidRDefault="009D3A42" w:rsidP="00814D27">
      <w:pPr>
        <w:pStyle w:val="NoSpacing"/>
        <w:jc w:val="both"/>
      </w:pPr>
    </w:p>
    <w:p w14:paraId="6D0309BF" w14:textId="77777777" w:rsidR="009D3A42" w:rsidRPr="009D3A42" w:rsidRDefault="009D3A42" w:rsidP="00814D27">
      <w:pPr>
        <w:pStyle w:val="NoSpacing"/>
        <w:numPr>
          <w:ilvl w:val="0"/>
          <w:numId w:val="3"/>
        </w:numPr>
        <w:jc w:val="both"/>
      </w:pPr>
      <w:r w:rsidRPr="009D3A42">
        <w:t>Identify proteins with strong differential phosphorylation signatures.</w:t>
      </w:r>
    </w:p>
    <w:p w14:paraId="2899E87D" w14:textId="77777777" w:rsidR="009D3A42" w:rsidRPr="009D3A42" w:rsidRDefault="009D3A42" w:rsidP="00814D27">
      <w:pPr>
        <w:pStyle w:val="NoSpacing"/>
        <w:numPr>
          <w:ilvl w:val="0"/>
          <w:numId w:val="3"/>
        </w:numPr>
        <w:jc w:val="both"/>
      </w:pPr>
      <w:r w:rsidRPr="009D3A42">
        <w:t>Assess whether regulation is driven by many small changes or a few high-intensity sites.</w:t>
      </w:r>
    </w:p>
    <w:p w14:paraId="3378BFE1" w14:textId="77777777" w:rsidR="009D3A42" w:rsidRPr="009D3A42" w:rsidRDefault="009D3A42" w:rsidP="00814D27">
      <w:pPr>
        <w:pStyle w:val="NoSpacing"/>
        <w:numPr>
          <w:ilvl w:val="0"/>
          <w:numId w:val="3"/>
        </w:numPr>
        <w:jc w:val="both"/>
      </w:pPr>
      <w:r w:rsidRPr="009D3A42">
        <w:t>Compare the global balance of up- versus downregulated phosphosites across the dataset.</w:t>
      </w:r>
    </w:p>
    <w:p w14:paraId="3A65E49E" w14:textId="77777777" w:rsidR="009D3A42" w:rsidRDefault="009D3A42" w:rsidP="00814D27">
      <w:pPr>
        <w:pStyle w:val="NoSpacing"/>
        <w:numPr>
          <w:ilvl w:val="0"/>
          <w:numId w:val="3"/>
        </w:numPr>
        <w:jc w:val="both"/>
      </w:pPr>
      <w:r w:rsidRPr="009D3A42">
        <w:t>Explore detailed phosphosite information without leaving the protein-level context.</w:t>
      </w:r>
    </w:p>
    <w:p w14:paraId="5B324377" w14:textId="77777777" w:rsidR="009D3A42" w:rsidRPr="009D3A42" w:rsidRDefault="009D3A42" w:rsidP="00814D27">
      <w:pPr>
        <w:pStyle w:val="NoSpacing"/>
        <w:ind w:left="720"/>
        <w:jc w:val="both"/>
      </w:pPr>
    </w:p>
    <w:p w14:paraId="72005EFB" w14:textId="77777777" w:rsidR="009D3A42" w:rsidRPr="009D3A42" w:rsidRDefault="009D3A42" w:rsidP="00814D27">
      <w:pPr>
        <w:pStyle w:val="NoSpacing"/>
        <w:jc w:val="both"/>
      </w:pPr>
      <w:r w:rsidRPr="009D3A42">
        <w:t xml:space="preserve">By integrating statistical testing, fold-change thresholds, and phosphosite-level aggregation, </w:t>
      </w:r>
      <w:r w:rsidRPr="009D3A42">
        <w:rPr>
          <w:b/>
          <w:bCs/>
        </w:rPr>
        <w:t>Protein-level Phosphosite Regulation</w:t>
      </w:r>
      <w:r w:rsidRPr="009D3A42">
        <w:t xml:space="preserve"> provides a concise yet informative view of condition-specific phosphorylation dynamics at the protein scale.</w:t>
      </w:r>
    </w:p>
    <w:p w14:paraId="659E5F7D" w14:textId="2C20666C" w:rsidR="00AC3F5B" w:rsidRPr="00AC3F5B" w:rsidRDefault="00AC3F5B" w:rsidP="00814D27">
      <w:pPr>
        <w:pStyle w:val="NoSpacing"/>
        <w:jc w:val="both"/>
      </w:pPr>
    </w:p>
    <w:sectPr w:rsidR="00AC3F5B" w:rsidRPr="00AC3F5B" w:rsidSect="00E7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11FD"/>
    <w:multiLevelType w:val="multilevel"/>
    <w:tmpl w:val="A7C6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B33B8"/>
    <w:multiLevelType w:val="multilevel"/>
    <w:tmpl w:val="C30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341CC"/>
    <w:multiLevelType w:val="multilevel"/>
    <w:tmpl w:val="BEE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09939">
    <w:abstractNumId w:val="2"/>
  </w:num>
  <w:num w:numId="2" w16cid:durableId="2088266086">
    <w:abstractNumId w:val="0"/>
  </w:num>
  <w:num w:numId="3" w16cid:durableId="102699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5B"/>
    <w:rsid w:val="002500B0"/>
    <w:rsid w:val="003D5354"/>
    <w:rsid w:val="00624E11"/>
    <w:rsid w:val="006E4C38"/>
    <w:rsid w:val="007F2B13"/>
    <w:rsid w:val="00814D27"/>
    <w:rsid w:val="008B2234"/>
    <w:rsid w:val="009D3A42"/>
    <w:rsid w:val="00A1744F"/>
    <w:rsid w:val="00A525D3"/>
    <w:rsid w:val="00AC3F5B"/>
    <w:rsid w:val="00E5605D"/>
    <w:rsid w:val="00E77686"/>
    <w:rsid w:val="00FB43DA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C95C5"/>
  <w15:chartTrackingRefBased/>
  <w15:docId w15:val="{33BD449B-906C-4575-A4C0-0D7F5095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5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3F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Marx</dc:creator>
  <cp:keywords/>
  <dc:description/>
  <cp:lastModifiedBy>Jonas Marx</cp:lastModifiedBy>
  <cp:revision>7</cp:revision>
  <dcterms:created xsi:type="dcterms:W3CDTF">2025-11-24T11:10:00Z</dcterms:created>
  <dcterms:modified xsi:type="dcterms:W3CDTF">2025-11-24T11:36:00Z</dcterms:modified>
</cp:coreProperties>
</file>