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762D" w14:textId="25D1A4C5" w:rsidR="003D5354" w:rsidRPr="0091286E" w:rsidRDefault="00D028CF" w:rsidP="0091286E">
      <w:pPr>
        <w:rPr>
          <w:b/>
          <w:bCs/>
          <w:sz w:val="36"/>
          <w:szCs w:val="36"/>
        </w:rPr>
      </w:pPr>
      <w:r>
        <w:rPr>
          <w:b/>
          <w:bCs/>
          <w:sz w:val="36"/>
          <w:szCs w:val="36"/>
        </w:rPr>
        <w:t>Coverage</w:t>
      </w:r>
      <w:r w:rsidR="0091286E" w:rsidRPr="0091286E">
        <w:rPr>
          <w:b/>
          <w:bCs/>
          <w:sz w:val="36"/>
          <w:szCs w:val="36"/>
        </w:rPr>
        <w:t xml:space="preserve"> Plot Manual</w:t>
      </w:r>
    </w:p>
    <w:p w14:paraId="02A522DC" w14:textId="1436FB6F" w:rsidR="0091286E" w:rsidRPr="0091286E" w:rsidRDefault="0091286E" w:rsidP="0091286E">
      <w:pPr>
        <w:pStyle w:val="NoSpacing"/>
        <w:rPr>
          <w:b/>
          <w:bCs/>
        </w:rPr>
      </w:pPr>
      <w:r w:rsidRPr="0091286E">
        <w:rPr>
          <w:b/>
          <w:bCs/>
        </w:rPr>
        <w:t>1. User Interface (UI)</w:t>
      </w:r>
    </w:p>
    <w:p w14:paraId="70ADE0F2" w14:textId="77777777" w:rsidR="0091286E" w:rsidRDefault="0091286E" w:rsidP="0091286E">
      <w:pPr>
        <w:pStyle w:val="NoSpacing"/>
      </w:pPr>
    </w:p>
    <w:p w14:paraId="01721754" w14:textId="77777777" w:rsidR="0091286E" w:rsidRDefault="0091286E" w:rsidP="0091286E">
      <w:pPr>
        <w:pStyle w:val="NoSpacing"/>
      </w:pPr>
      <w:r w:rsidRPr="007957F7">
        <w:t>In the upper-right section of the user interface, you will find a set of controls for customizing the plot:</w:t>
      </w:r>
    </w:p>
    <w:p w14:paraId="7E28F741" w14:textId="66FF074F" w:rsidR="0091286E" w:rsidRDefault="0091286E" w:rsidP="0091286E">
      <w:pPr>
        <w:pStyle w:val="NoSpacing"/>
      </w:pPr>
    </w:p>
    <w:p w14:paraId="7ED9B5EE" w14:textId="3EDF158E" w:rsidR="0091286E" w:rsidRPr="0091286E" w:rsidRDefault="0091286E" w:rsidP="0091286E">
      <w:pPr>
        <w:pStyle w:val="NoSpacing"/>
        <w:numPr>
          <w:ilvl w:val="0"/>
          <w:numId w:val="1"/>
        </w:numPr>
      </w:pPr>
      <w:r>
        <w:rPr>
          <w:b/>
          <w:bCs/>
        </w:rPr>
        <w:t>Toggle IDs</w:t>
      </w:r>
      <w:r w:rsidRPr="00C55856">
        <w:t>:</w:t>
      </w:r>
      <w:r>
        <w:t xml:space="preserve"> Enables or disables the display of the sample IDs in the plot.</w:t>
      </w:r>
    </w:p>
    <w:p w14:paraId="1B6571C9" w14:textId="039ED18D" w:rsidR="0091286E" w:rsidRDefault="0091286E" w:rsidP="0091286E">
      <w:pPr>
        <w:pStyle w:val="NoSpacing"/>
        <w:numPr>
          <w:ilvl w:val="0"/>
          <w:numId w:val="1"/>
        </w:numPr>
      </w:pPr>
      <w:r w:rsidRPr="007957F7">
        <w:rPr>
          <w:b/>
          <w:bCs/>
        </w:rPr>
        <w:t>Toggle Header</w:t>
      </w:r>
      <w:r w:rsidRPr="007957F7">
        <w:t>: Enables or disables the display of the header in the plot.</w:t>
      </w:r>
    </w:p>
    <w:p w14:paraId="133342D9" w14:textId="2D9ECFB5" w:rsidR="0091286E" w:rsidRDefault="0091286E" w:rsidP="0091286E">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1DCAF6CD" w14:textId="30982B44" w:rsidR="0091286E" w:rsidRPr="007957F7" w:rsidRDefault="0091286E" w:rsidP="0091286E">
      <w:pPr>
        <w:pStyle w:val="NoSpacing"/>
        <w:numPr>
          <w:ilvl w:val="0"/>
          <w:numId w:val="1"/>
        </w:numPr>
      </w:pPr>
      <w:r w:rsidRPr="0091286E">
        <w:rPr>
          <w:b/>
          <w:bCs/>
        </w:rPr>
        <w:t>Levels</w:t>
      </w:r>
      <w:r w:rsidRPr="007957F7">
        <w:t>: Allows selection of the data set to visualize. Available options include:</w:t>
      </w:r>
    </w:p>
    <w:p w14:paraId="0E6AD497" w14:textId="77777777" w:rsidR="0091286E" w:rsidRPr="007957F7" w:rsidRDefault="0091286E" w:rsidP="0091286E">
      <w:pPr>
        <w:pStyle w:val="NoSpacing"/>
        <w:numPr>
          <w:ilvl w:val="1"/>
          <w:numId w:val="1"/>
        </w:numPr>
      </w:pPr>
      <w:r w:rsidRPr="007957F7">
        <w:rPr>
          <w:b/>
          <w:bCs/>
        </w:rPr>
        <w:t>Protein</w:t>
      </w:r>
      <w:r w:rsidRPr="007957F7">
        <w:t xml:space="preserve"> – available after uploading protein-level data.</w:t>
      </w:r>
    </w:p>
    <w:p w14:paraId="15214025" w14:textId="77777777" w:rsidR="0091286E" w:rsidRPr="007957F7" w:rsidRDefault="0091286E" w:rsidP="0091286E">
      <w:pPr>
        <w:pStyle w:val="NoSpacing"/>
        <w:numPr>
          <w:ilvl w:val="1"/>
          <w:numId w:val="1"/>
        </w:numPr>
      </w:pPr>
      <w:r w:rsidRPr="007957F7">
        <w:rPr>
          <w:b/>
          <w:bCs/>
        </w:rPr>
        <w:t>Phosphosite</w:t>
      </w:r>
      <w:r w:rsidRPr="007957F7">
        <w:t xml:space="preserve"> – available after uploading the phosphosite-level data.</w:t>
      </w:r>
    </w:p>
    <w:p w14:paraId="3A37C57F" w14:textId="43E146B6" w:rsidR="0091286E" w:rsidRPr="007957F7" w:rsidRDefault="0091286E" w:rsidP="0091286E">
      <w:pPr>
        <w:pStyle w:val="NoSpacing"/>
        <w:numPr>
          <w:ilvl w:val="1"/>
          <w:numId w:val="1"/>
        </w:numPr>
      </w:pPr>
      <w:r w:rsidRPr="007957F7">
        <w:rPr>
          <w:b/>
          <w:bCs/>
        </w:rPr>
        <w:t>Phosphoprotein</w:t>
      </w:r>
      <w:r w:rsidRPr="007957F7">
        <w:t xml:space="preserve"> – available after initializing a collapsing pipeline for the phosphosite-level data</w:t>
      </w:r>
      <w:r>
        <w:t>.</w:t>
      </w:r>
    </w:p>
    <w:p w14:paraId="09DB697C" w14:textId="04F8D702" w:rsidR="0091286E" w:rsidRDefault="0091286E" w:rsidP="0091286E">
      <w:pPr>
        <w:pStyle w:val="NoSpacing"/>
        <w:numPr>
          <w:ilvl w:val="0"/>
          <w:numId w:val="1"/>
        </w:numPr>
      </w:pPr>
      <w:r>
        <w:rPr>
          <w:b/>
          <w:bCs/>
        </w:rPr>
        <w:t>Type</w:t>
      </w:r>
      <w:r w:rsidRPr="007957F7">
        <w:t>:</w:t>
      </w:r>
      <w:r>
        <w:t xml:space="preserve"> </w:t>
      </w:r>
      <w:r w:rsidRPr="0091286E">
        <w:t>Allows selection between two visualization modes:</w:t>
      </w:r>
    </w:p>
    <w:p w14:paraId="4590FD49" w14:textId="3F492FFF" w:rsidR="0091286E" w:rsidRDefault="0091286E" w:rsidP="0091286E">
      <w:pPr>
        <w:pStyle w:val="NoSpacing"/>
        <w:numPr>
          <w:ilvl w:val="1"/>
          <w:numId w:val="1"/>
        </w:numPr>
      </w:pPr>
      <w:r>
        <w:rPr>
          <w:b/>
          <w:bCs/>
        </w:rPr>
        <w:t>Normal</w:t>
      </w:r>
      <w:r w:rsidRPr="0091286E">
        <w:t>:</w:t>
      </w:r>
      <w:r>
        <w:t xml:space="preserve"> </w:t>
      </w:r>
      <w:r w:rsidRPr="0091286E">
        <w:t>displays the per-sample bar plot showing the count of non-missing values for each sample.</w:t>
      </w:r>
    </w:p>
    <w:p w14:paraId="36CB9897" w14:textId="2BC033AE" w:rsidR="0091286E" w:rsidRDefault="0091286E" w:rsidP="0091286E">
      <w:pPr>
        <w:pStyle w:val="NoSpacing"/>
        <w:numPr>
          <w:ilvl w:val="1"/>
          <w:numId w:val="1"/>
        </w:numPr>
      </w:pPr>
      <w:r>
        <w:rPr>
          <w:b/>
          <w:bCs/>
        </w:rPr>
        <w:t>Summary</w:t>
      </w:r>
      <w:r w:rsidRPr="0091286E">
        <w:t>:</w:t>
      </w:r>
      <w:r>
        <w:t xml:space="preserve"> </w:t>
      </w:r>
      <w:r w:rsidRPr="0091286E">
        <w:t>displays the condition-level summary plot, including mean values, standard deviations, and individual data points.</w:t>
      </w:r>
    </w:p>
    <w:p w14:paraId="416A7BAF" w14:textId="7C9FCF30" w:rsidR="0091286E" w:rsidRDefault="0091286E" w:rsidP="0091286E">
      <w:pPr>
        <w:pStyle w:val="NoSpacing"/>
        <w:numPr>
          <w:ilvl w:val="0"/>
          <w:numId w:val="1"/>
        </w:numPr>
      </w:pPr>
      <w:r>
        <w:rPr>
          <w:b/>
          <w:bCs/>
        </w:rPr>
        <w:t>Show Original Sample Names in Table</w:t>
      </w:r>
      <w:r w:rsidRPr="007957F7">
        <w:t>:</w:t>
      </w:r>
      <w:r>
        <w:t xml:space="preserve"> </w:t>
      </w:r>
      <w:r w:rsidRPr="0091286E">
        <w:t>When enabled, the accompanying table displays the original sample names instead of the internally generated labels.</w:t>
      </w:r>
    </w:p>
    <w:p w14:paraId="24974ACE" w14:textId="5DECB19F" w:rsidR="0091286E" w:rsidRPr="007957F7" w:rsidRDefault="0091286E" w:rsidP="0091286E">
      <w:pPr>
        <w:pStyle w:val="NoSpacing"/>
        <w:numPr>
          <w:ilvl w:val="0"/>
          <w:numId w:val="1"/>
        </w:numPr>
      </w:pPr>
      <w:r w:rsidRPr="007957F7">
        <w:rPr>
          <w:b/>
          <w:bCs/>
        </w:rPr>
        <w:t>Toggle Text</w:t>
      </w:r>
      <w:r w:rsidRPr="007957F7">
        <w:t>: Enables or disables the display of numeric values on the bars.</w:t>
      </w:r>
    </w:p>
    <w:p w14:paraId="2D17C6E9" w14:textId="77777777" w:rsidR="0091286E" w:rsidRPr="007957F7" w:rsidRDefault="0091286E" w:rsidP="0091286E">
      <w:pPr>
        <w:pStyle w:val="NoSpacing"/>
        <w:numPr>
          <w:ilvl w:val="0"/>
          <w:numId w:val="1"/>
        </w:numPr>
      </w:pPr>
      <w:r w:rsidRPr="007957F7">
        <w:rPr>
          <w:b/>
          <w:bCs/>
        </w:rPr>
        <w:t>Text Size</w:t>
      </w:r>
      <w:r w:rsidRPr="007957F7">
        <w:t>: Adjusts the size of the text displayed over the bars when enabled.</w:t>
      </w:r>
    </w:p>
    <w:p w14:paraId="3F9B458A" w14:textId="77777777" w:rsidR="0091286E" w:rsidRPr="007957F7" w:rsidRDefault="0091286E" w:rsidP="0091286E">
      <w:pPr>
        <w:pStyle w:val="NoSpacing"/>
        <w:numPr>
          <w:ilvl w:val="0"/>
          <w:numId w:val="1"/>
        </w:numPr>
      </w:pPr>
      <w:r w:rsidRPr="007957F7">
        <w:rPr>
          <w:b/>
          <w:bCs/>
        </w:rPr>
        <w:t>Plot Width, Height, and DPI</w:t>
      </w:r>
      <w:r w:rsidRPr="007957F7">
        <w:t>: Adjust the dimensions and resolution of the plot for download.</w:t>
      </w:r>
    </w:p>
    <w:p w14:paraId="42C7A3D6" w14:textId="77777777" w:rsidR="0091286E" w:rsidRPr="007957F7" w:rsidRDefault="0091286E" w:rsidP="0091286E">
      <w:pPr>
        <w:pStyle w:val="NoSpacing"/>
        <w:numPr>
          <w:ilvl w:val="0"/>
          <w:numId w:val="1"/>
        </w:numPr>
      </w:pPr>
      <w:r w:rsidRPr="007957F7">
        <w:rPr>
          <w:b/>
          <w:bCs/>
        </w:rPr>
        <w:t>Download Format</w:t>
      </w:r>
      <w:r w:rsidRPr="007957F7">
        <w:t>: Choose the file format for downloading the plot, including PNG, JPG, SVG, or PDF.</w:t>
      </w:r>
    </w:p>
    <w:p w14:paraId="7FE5275F" w14:textId="77777777" w:rsidR="0091286E" w:rsidRDefault="0091286E" w:rsidP="0091286E">
      <w:pPr>
        <w:pStyle w:val="NoSpacing"/>
        <w:numPr>
          <w:ilvl w:val="0"/>
          <w:numId w:val="1"/>
        </w:numPr>
      </w:pPr>
      <w:r w:rsidRPr="007957F7">
        <w:rPr>
          <w:b/>
          <w:bCs/>
        </w:rPr>
        <w:t>Download Button</w:t>
      </w:r>
      <w:r w:rsidRPr="007957F7">
        <w:t>: Exports the plot according to the selected settings. Note that changes in size affect only the downloaded plot and do not modify the display in the interface.</w:t>
      </w:r>
    </w:p>
    <w:p w14:paraId="5957C6BC" w14:textId="77777777" w:rsidR="0091286E" w:rsidRDefault="0091286E" w:rsidP="0091286E">
      <w:pPr>
        <w:pStyle w:val="NoSpacing"/>
      </w:pPr>
    </w:p>
    <w:p w14:paraId="0F338B58" w14:textId="69585FD3" w:rsidR="0091286E" w:rsidRDefault="009F0CC7" w:rsidP="0091286E">
      <w:pPr>
        <w:pStyle w:val="NoSpacing"/>
        <w:rPr>
          <w:b/>
          <w:bCs/>
        </w:rPr>
      </w:pPr>
      <w:r w:rsidRPr="009F0CC7">
        <w:rPr>
          <w:b/>
          <w:bCs/>
        </w:rPr>
        <w:t xml:space="preserve">2. </w:t>
      </w:r>
      <w:r w:rsidR="00D028CF">
        <w:rPr>
          <w:b/>
          <w:bCs/>
        </w:rPr>
        <w:t>Coverage</w:t>
      </w:r>
      <w:r w:rsidRPr="009F0CC7">
        <w:rPr>
          <w:b/>
          <w:bCs/>
        </w:rPr>
        <w:t xml:space="preserve"> Plot</w:t>
      </w:r>
    </w:p>
    <w:p w14:paraId="7D48EFD0" w14:textId="77777777" w:rsidR="009F0CC7" w:rsidRDefault="009F0CC7" w:rsidP="0091286E">
      <w:pPr>
        <w:pStyle w:val="NoSpacing"/>
        <w:rPr>
          <w:b/>
          <w:bCs/>
        </w:rPr>
      </w:pPr>
    </w:p>
    <w:p w14:paraId="5E0314FA" w14:textId="77777777" w:rsidR="009F0CC7" w:rsidRDefault="009F0CC7" w:rsidP="00D028CF">
      <w:pPr>
        <w:pStyle w:val="NoSpacing"/>
        <w:jc w:val="both"/>
      </w:pPr>
      <w:r w:rsidRPr="009F0CC7">
        <w:t>The coverage functionality is implemented through three dedicated functions, each designed for a specific data structure and visualization type:</w:t>
      </w:r>
    </w:p>
    <w:p w14:paraId="6C97DB43" w14:textId="77777777" w:rsidR="009F0CC7" w:rsidRPr="009F0CC7" w:rsidRDefault="009F0CC7" w:rsidP="009F0CC7">
      <w:pPr>
        <w:pStyle w:val="NoSpacing"/>
      </w:pPr>
    </w:p>
    <w:p w14:paraId="37489B1B" w14:textId="77777777" w:rsidR="009F0CC7" w:rsidRPr="009F0CC7" w:rsidRDefault="009F0CC7" w:rsidP="009F0CC7">
      <w:pPr>
        <w:pStyle w:val="NoSpacing"/>
        <w:numPr>
          <w:ilvl w:val="0"/>
          <w:numId w:val="2"/>
        </w:numPr>
      </w:pPr>
      <w:r w:rsidRPr="009F0CC7">
        <w:rPr>
          <w:b/>
          <w:bCs/>
        </w:rPr>
        <w:t>coverage_plot</w:t>
      </w:r>
      <w:r w:rsidRPr="009F0CC7">
        <w:t xml:space="preserve"> – Visualizes coverage for protein-level and phosphosite-level datasets in </w:t>
      </w:r>
      <w:r w:rsidRPr="009F0CC7">
        <w:rPr>
          <w:b/>
          <w:bCs/>
        </w:rPr>
        <w:t>wide format</w:t>
      </w:r>
      <w:r w:rsidRPr="009F0CC7">
        <w:t>.</w:t>
      </w:r>
    </w:p>
    <w:p w14:paraId="77731DF1" w14:textId="77777777" w:rsidR="009F0CC7" w:rsidRPr="009F0CC7" w:rsidRDefault="009F0CC7" w:rsidP="009F0CC7">
      <w:pPr>
        <w:pStyle w:val="NoSpacing"/>
        <w:numPr>
          <w:ilvl w:val="0"/>
          <w:numId w:val="2"/>
        </w:numPr>
      </w:pPr>
      <w:r w:rsidRPr="009F0CC7">
        <w:rPr>
          <w:b/>
          <w:bCs/>
        </w:rPr>
        <w:t>coverage_plot_pep</w:t>
      </w:r>
      <w:r w:rsidRPr="009F0CC7">
        <w:t xml:space="preserve"> – Processes </w:t>
      </w:r>
      <w:r w:rsidRPr="009F0CC7">
        <w:rPr>
          <w:b/>
          <w:bCs/>
        </w:rPr>
        <w:t>long-format peptide-level data</w:t>
      </w:r>
      <w:r w:rsidRPr="009F0CC7">
        <w:t>, generating an equivalent coverage plot adapted to peptide structures.</w:t>
      </w:r>
    </w:p>
    <w:p w14:paraId="16509D2A" w14:textId="77777777" w:rsidR="009F0CC7" w:rsidRPr="009F0CC7" w:rsidRDefault="009F0CC7" w:rsidP="009F0CC7">
      <w:pPr>
        <w:pStyle w:val="NoSpacing"/>
        <w:numPr>
          <w:ilvl w:val="0"/>
          <w:numId w:val="2"/>
        </w:numPr>
      </w:pPr>
      <w:r w:rsidRPr="009F0CC7">
        <w:rPr>
          <w:b/>
          <w:bCs/>
        </w:rPr>
        <w:t>coverage_plot_summary</w:t>
      </w:r>
      <w:r w:rsidRPr="009F0CC7">
        <w:t xml:space="preserve"> – Produces a </w:t>
      </w:r>
      <w:r w:rsidRPr="009F0CC7">
        <w:rPr>
          <w:b/>
          <w:bCs/>
        </w:rPr>
        <w:t>condition-level summary visualization</w:t>
      </w:r>
      <w:r w:rsidRPr="009F0CC7">
        <w:t xml:space="preserve"> from wide-format data, aggregating sample information within each condition.</w:t>
      </w:r>
    </w:p>
    <w:p w14:paraId="6B1D950A" w14:textId="42695588" w:rsidR="009F0CC7" w:rsidRDefault="009F0CC7" w:rsidP="009F0CC7">
      <w:pPr>
        <w:pStyle w:val="NoSpacing"/>
      </w:pPr>
    </w:p>
    <w:p w14:paraId="23001A02" w14:textId="77777777" w:rsidR="009F0CC7" w:rsidRDefault="009F0CC7" w:rsidP="009F0CC7">
      <w:pPr>
        <w:pStyle w:val="NoSpacing"/>
      </w:pPr>
    </w:p>
    <w:p w14:paraId="5133A524" w14:textId="77777777" w:rsidR="009F0CC7" w:rsidRDefault="009F0CC7" w:rsidP="009F0CC7">
      <w:pPr>
        <w:pStyle w:val="NoSpacing"/>
      </w:pPr>
    </w:p>
    <w:p w14:paraId="224588D9" w14:textId="77777777" w:rsidR="009F0CC7" w:rsidRDefault="009F0CC7" w:rsidP="009F0CC7">
      <w:pPr>
        <w:pStyle w:val="NoSpacing"/>
      </w:pPr>
    </w:p>
    <w:p w14:paraId="46FCC14C" w14:textId="77777777" w:rsidR="009F0CC7" w:rsidRDefault="009F0CC7" w:rsidP="009F0CC7">
      <w:pPr>
        <w:pStyle w:val="NoSpacing"/>
      </w:pPr>
    </w:p>
    <w:p w14:paraId="36FFCA34" w14:textId="77777777" w:rsidR="00D028CF" w:rsidRDefault="00D028CF" w:rsidP="00D028CF">
      <w:pPr>
        <w:pStyle w:val="NoSpacing"/>
        <w:jc w:val="both"/>
      </w:pPr>
      <w:r w:rsidRPr="00D028CF">
        <w:lastRenderedPageBreak/>
        <w:t>The coverage plot quantifies the degree of data completeness per sample. For each sample (column):</w:t>
      </w:r>
    </w:p>
    <w:p w14:paraId="36697F00" w14:textId="77777777" w:rsidR="00D028CF" w:rsidRPr="00D028CF" w:rsidRDefault="00D028CF" w:rsidP="00D028CF">
      <w:pPr>
        <w:pStyle w:val="NoSpacing"/>
      </w:pPr>
    </w:p>
    <w:p w14:paraId="0DFD0F6D" w14:textId="4C4A9A90" w:rsidR="00D028CF" w:rsidRPr="00D028CF" w:rsidRDefault="00D028CF" w:rsidP="00D028CF">
      <w:pPr>
        <w:pStyle w:val="NoSpacing"/>
        <w:numPr>
          <w:ilvl w:val="0"/>
          <w:numId w:val="5"/>
        </w:numPr>
      </w:pPr>
      <w:r w:rsidRPr="00D028CF">
        <w:t>Missing values (NA) are counted within the sample</w:t>
      </w:r>
      <w:r>
        <w:t xml:space="preserve"> (column)</w:t>
      </w:r>
      <w:r w:rsidRPr="00D028CF">
        <w:t>.</w:t>
      </w:r>
    </w:p>
    <w:p w14:paraId="4045769B" w14:textId="55FFDA1E" w:rsidR="00D028CF" w:rsidRPr="00D028CF" w:rsidRDefault="00D028CF" w:rsidP="00D028CF">
      <w:pPr>
        <w:pStyle w:val="NoSpacing"/>
        <w:numPr>
          <w:ilvl w:val="0"/>
          <w:numId w:val="5"/>
        </w:numPr>
      </w:pPr>
      <w:r w:rsidRPr="00D028CF">
        <w:t xml:space="preserve">The total number of features in the dataset, for example proteins or phosphosites, is determined by the total number of </w:t>
      </w:r>
      <w:r>
        <w:t xml:space="preserve">data frame </w:t>
      </w:r>
      <w:r w:rsidRPr="00D028CF">
        <w:t>rows.</w:t>
      </w:r>
    </w:p>
    <w:p w14:paraId="43E3E004" w14:textId="77777777" w:rsidR="00D028CF" w:rsidRPr="00D028CF" w:rsidRDefault="00D028CF" w:rsidP="00D028CF">
      <w:pPr>
        <w:pStyle w:val="NoSpacing"/>
        <w:numPr>
          <w:ilvl w:val="0"/>
          <w:numId w:val="5"/>
        </w:numPr>
      </w:pPr>
      <w:r w:rsidRPr="00D028CF">
        <w:t>The number of detected features per sample is calculated as:</w:t>
      </w:r>
      <w:r w:rsidRPr="00D028CF">
        <w:br/>
      </w:r>
      <w:r w:rsidRPr="00D028CF">
        <w:rPr>
          <w:b/>
          <w:bCs/>
        </w:rPr>
        <w:t>Detected Features = Total Features minus Missing Values per Sample</w:t>
      </w:r>
    </w:p>
    <w:p w14:paraId="6AD63459" w14:textId="77777777" w:rsidR="00D028CF" w:rsidRDefault="00D028CF" w:rsidP="00D028CF">
      <w:pPr>
        <w:pStyle w:val="NoSpacing"/>
        <w:jc w:val="both"/>
      </w:pPr>
    </w:p>
    <w:p w14:paraId="43BEC1E5" w14:textId="73349376" w:rsidR="00D028CF" w:rsidRDefault="00D028CF" w:rsidP="00D028CF">
      <w:pPr>
        <w:pStyle w:val="NoSpacing"/>
        <w:jc w:val="both"/>
      </w:pPr>
      <w:r w:rsidRPr="00D028CF">
        <w:rPr>
          <w:noProof/>
        </w:rPr>
        <w:drawing>
          <wp:inline distT="0" distB="0" distL="0" distR="0" wp14:anchorId="308A323F" wp14:editId="79026F11">
            <wp:extent cx="5760720" cy="3126740"/>
            <wp:effectExtent l="0" t="0" r="0" b="0"/>
            <wp:docPr id="8650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4829" name=""/>
                    <pic:cNvPicPr/>
                  </pic:nvPicPr>
                  <pic:blipFill>
                    <a:blip r:embed="rId5"/>
                    <a:stretch>
                      <a:fillRect/>
                    </a:stretch>
                  </pic:blipFill>
                  <pic:spPr>
                    <a:xfrm>
                      <a:off x="0" y="0"/>
                      <a:ext cx="5760720" cy="3126740"/>
                    </a:xfrm>
                    <a:prstGeom prst="rect">
                      <a:avLst/>
                    </a:prstGeom>
                  </pic:spPr>
                </pic:pic>
              </a:graphicData>
            </a:graphic>
          </wp:inline>
        </w:drawing>
      </w:r>
    </w:p>
    <w:p w14:paraId="74BE4521" w14:textId="4388C40C" w:rsidR="00D028CF" w:rsidRPr="00D028CF" w:rsidRDefault="00D028CF" w:rsidP="00D028CF">
      <w:pPr>
        <w:pStyle w:val="NoSpacing"/>
        <w:jc w:val="both"/>
        <w:rPr>
          <w:sz w:val="16"/>
          <w:szCs w:val="16"/>
        </w:rPr>
      </w:pPr>
      <w:r w:rsidRPr="00D028CF">
        <w:rPr>
          <w:sz w:val="16"/>
          <w:szCs w:val="16"/>
        </w:rPr>
        <w:t>Figure 1: Normal Coverage Plot.</w:t>
      </w:r>
    </w:p>
    <w:p w14:paraId="74D46882" w14:textId="68022F70" w:rsidR="00D028CF" w:rsidRDefault="00D028CF" w:rsidP="00D028CF">
      <w:pPr>
        <w:pStyle w:val="NoSpacing"/>
        <w:jc w:val="both"/>
      </w:pPr>
    </w:p>
    <w:p w14:paraId="357CC9A2" w14:textId="2F7E4870" w:rsidR="00D028CF" w:rsidRDefault="00D028CF" w:rsidP="00D028CF">
      <w:pPr>
        <w:pStyle w:val="NoSpacing"/>
        <w:jc w:val="both"/>
      </w:pPr>
      <w:r w:rsidRPr="00D028CF">
        <w:rPr>
          <w:noProof/>
        </w:rPr>
        <w:drawing>
          <wp:inline distT="0" distB="0" distL="0" distR="0" wp14:anchorId="1AADC7CB" wp14:editId="4D290DE6">
            <wp:extent cx="5760720" cy="2845435"/>
            <wp:effectExtent l="0" t="0" r="0" b="0"/>
            <wp:docPr id="140151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1294" name=""/>
                    <pic:cNvPicPr/>
                  </pic:nvPicPr>
                  <pic:blipFill>
                    <a:blip r:embed="rId6"/>
                    <a:stretch>
                      <a:fillRect/>
                    </a:stretch>
                  </pic:blipFill>
                  <pic:spPr>
                    <a:xfrm>
                      <a:off x="0" y="0"/>
                      <a:ext cx="5760720" cy="2845435"/>
                    </a:xfrm>
                    <a:prstGeom prst="rect">
                      <a:avLst/>
                    </a:prstGeom>
                  </pic:spPr>
                </pic:pic>
              </a:graphicData>
            </a:graphic>
          </wp:inline>
        </w:drawing>
      </w:r>
    </w:p>
    <w:p w14:paraId="6812A058" w14:textId="50635FF3" w:rsidR="00D028CF" w:rsidRPr="00D028CF" w:rsidRDefault="00D028CF" w:rsidP="00D028CF">
      <w:pPr>
        <w:pStyle w:val="NoSpacing"/>
        <w:jc w:val="both"/>
        <w:rPr>
          <w:sz w:val="16"/>
          <w:szCs w:val="16"/>
        </w:rPr>
      </w:pPr>
      <w:r w:rsidRPr="00D028CF">
        <w:rPr>
          <w:sz w:val="16"/>
          <w:szCs w:val="16"/>
        </w:rPr>
        <w:t xml:space="preserve">Figure </w:t>
      </w:r>
      <w:r>
        <w:rPr>
          <w:sz w:val="16"/>
          <w:szCs w:val="16"/>
        </w:rPr>
        <w:t>2</w:t>
      </w:r>
      <w:r w:rsidRPr="00D028CF">
        <w:rPr>
          <w:sz w:val="16"/>
          <w:szCs w:val="16"/>
        </w:rPr>
        <w:t xml:space="preserve">: </w:t>
      </w:r>
      <w:r>
        <w:rPr>
          <w:sz w:val="16"/>
          <w:szCs w:val="16"/>
        </w:rPr>
        <w:t>Summary</w:t>
      </w:r>
      <w:r w:rsidRPr="00D028CF">
        <w:rPr>
          <w:sz w:val="16"/>
          <w:szCs w:val="16"/>
        </w:rPr>
        <w:t xml:space="preserve"> Coverage Plot.</w:t>
      </w:r>
    </w:p>
    <w:p w14:paraId="6793EE2F" w14:textId="77777777" w:rsidR="00D028CF" w:rsidRPr="00D028CF" w:rsidRDefault="00D028CF" w:rsidP="00D028CF">
      <w:pPr>
        <w:rPr>
          <w:sz w:val="16"/>
          <w:szCs w:val="16"/>
        </w:rPr>
      </w:pPr>
    </w:p>
    <w:p w14:paraId="058FE178" w14:textId="7BC97D4D" w:rsidR="00D028CF" w:rsidRDefault="00D028CF" w:rsidP="00D028CF">
      <w:pPr>
        <w:tabs>
          <w:tab w:val="left" w:pos="1939"/>
        </w:tabs>
      </w:pPr>
      <w:r>
        <w:tab/>
      </w:r>
    </w:p>
    <w:p w14:paraId="4A74D3DC" w14:textId="77777777" w:rsidR="00D028CF" w:rsidRDefault="00D028CF" w:rsidP="00D028CF">
      <w:pPr>
        <w:tabs>
          <w:tab w:val="left" w:pos="1939"/>
        </w:tabs>
      </w:pPr>
    </w:p>
    <w:p w14:paraId="6294C030" w14:textId="77777777" w:rsidR="00D028CF" w:rsidRDefault="00D028CF" w:rsidP="00D028CF">
      <w:pPr>
        <w:pStyle w:val="NoSpacing"/>
        <w:jc w:val="both"/>
      </w:pPr>
      <w:r w:rsidRPr="00D028CF">
        <w:lastRenderedPageBreak/>
        <w:t>The number of proteins detected in each sample is visualized in a bar chart, with bar colors indicating the condition assigned to each sample. A red horizontal line marks the total number of features in the dataset, representing the full number of rows in the data frame. The summary version of the plot displays only the mean number of detected proteins per condition. Individual points represent the values of the individual samples, and the error bars show the standard deviation within each condition.</w:t>
      </w:r>
    </w:p>
    <w:p w14:paraId="48A46E64" w14:textId="77777777" w:rsidR="00D028CF" w:rsidRDefault="00D028CF" w:rsidP="00D028CF">
      <w:pPr>
        <w:pStyle w:val="NoSpacing"/>
        <w:jc w:val="both"/>
      </w:pPr>
    </w:p>
    <w:p w14:paraId="1EEBB8A6" w14:textId="3AA4B59D" w:rsidR="00D04805" w:rsidRPr="00D04805" w:rsidRDefault="00D04805" w:rsidP="00D04805">
      <w:pPr>
        <w:pStyle w:val="NoSpacing"/>
        <w:rPr>
          <w:b/>
          <w:bCs/>
        </w:rPr>
      </w:pPr>
      <w:r>
        <w:rPr>
          <w:b/>
          <w:bCs/>
        </w:rPr>
        <w:t>3</w:t>
      </w:r>
      <w:r w:rsidRPr="009F0CC7">
        <w:rPr>
          <w:b/>
          <w:bCs/>
        </w:rPr>
        <w:t xml:space="preserve">. </w:t>
      </w:r>
      <w:r>
        <w:rPr>
          <w:b/>
          <w:bCs/>
        </w:rPr>
        <w:t>Coverage</w:t>
      </w:r>
      <w:r w:rsidRPr="009F0CC7">
        <w:rPr>
          <w:b/>
          <w:bCs/>
        </w:rPr>
        <w:t xml:space="preserve"> </w:t>
      </w:r>
      <w:r>
        <w:rPr>
          <w:b/>
          <w:bCs/>
        </w:rPr>
        <w:t>Tables</w:t>
      </w:r>
    </w:p>
    <w:p w14:paraId="1FE10C0D" w14:textId="77777777" w:rsidR="00543E3E" w:rsidRDefault="00543E3E" w:rsidP="00D028CF">
      <w:pPr>
        <w:pStyle w:val="NoSpacing"/>
        <w:jc w:val="both"/>
      </w:pPr>
    </w:p>
    <w:p w14:paraId="4FFC1310" w14:textId="48EF2D3C" w:rsidR="00D028CF" w:rsidRDefault="00D028CF" w:rsidP="00D028CF">
      <w:pPr>
        <w:pStyle w:val="NoSpacing"/>
        <w:jc w:val="both"/>
      </w:pPr>
      <w:r>
        <w:t>The</w:t>
      </w:r>
      <w:r w:rsidRPr="00D028CF">
        <w:t xml:space="preserve"> coverage </w:t>
      </w:r>
      <w:r>
        <w:t>tables</w:t>
      </w:r>
      <w:r w:rsidRPr="00D028CF">
        <w:t xml:space="preserve"> </w:t>
      </w:r>
      <w:r>
        <w:t>are</w:t>
      </w:r>
      <w:r w:rsidRPr="00D028CF">
        <w:t xml:space="preserve"> implemented through </w:t>
      </w:r>
      <w:r>
        <w:t>two more</w:t>
      </w:r>
      <w:r w:rsidRPr="00D028CF">
        <w:t xml:space="preserve"> dedicated functions</w:t>
      </w:r>
      <w:r w:rsidR="00543E3E">
        <w:t>, the values shown are same as displayed in the coverage plots</w:t>
      </w:r>
      <w:r>
        <w:t>:</w:t>
      </w:r>
    </w:p>
    <w:p w14:paraId="5671C12C" w14:textId="77777777" w:rsidR="00D028CF" w:rsidRPr="009F0CC7" w:rsidRDefault="00D028CF" w:rsidP="00D028CF">
      <w:pPr>
        <w:pStyle w:val="NoSpacing"/>
      </w:pPr>
    </w:p>
    <w:p w14:paraId="64C69F95" w14:textId="7E6DE5C6" w:rsidR="00D028CF" w:rsidRDefault="00D028CF" w:rsidP="00D028CF">
      <w:pPr>
        <w:pStyle w:val="NoSpacing"/>
        <w:numPr>
          <w:ilvl w:val="0"/>
          <w:numId w:val="2"/>
        </w:numPr>
      </w:pPr>
      <w:r w:rsidRPr="00D028CF">
        <w:rPr>
          <w:b/>
          <w:bCs/>
        </w:rPr>
        <w:t>prepare_coverage_df</w:t>
      </w:r>
      <w:r w:rsidRPr="00D028CF">
        <w:t xml:space="preserve"> – Prepares a per-sample summary of detected features from wide-format data.</w:t>
      </w:r>
    </w:p>
    <w:p w14:paraId="32E4FCBC" w14:textId="63693E26" w:rsidR="00D028CF" w:rsidRDefault="00D028CF" w:rsidP="00543E3E">
      <w:pPr>
        <w:pStyle w:val="NoSpacing"/>
        <w:numPr>
          <w:ilvl w:val="0"/>
          <w:numId w:val="2"/>
        </w:numPr>
      </w:pPr>
      <w:r w:rsidRPr="00D028CF">
        <w:rPr>
          <w:b/>
          <w:bCs/>
        </w:rPr>
        <w:t>prepare_coverage_summary_df</w:t>
      </w:r>
      <w:r w:rsidRPr="00D028CF">
        <w:t xml:space="preserve"> – Prepares a condition-level summary of detected features from wide-format data.</w:t>
      </w:r>
    </w:p>
    <w:p w14:paraId="549FCCB5" w14:textId="77777777" w:rsidR="00543E3E" w:rsidRDefault="00543E3E" w:rsidP="00543E3E">
      <w:pPr>
        <w:pStyle w:val="NoSpacing"/>
      </w:pPr>
    </w:p>
    <w:p w14:paraId="07D48CD5" w14:textId="77777777" w:rsidR="00543E3E" w:rsidRPr="00D028CF" w:rsidRDefault="00543E3E" w:rsidP="00543E3E">
      <w:pPr>
        <w:pStyle w:val="NoSpacing"/>
      </w:pPr>
    </w:p>
    <w:p w14:paraId="4AFF4ED0" w14:textId="142CD4BD" w:rsidR="00543E3E" w:rsidRPr="00543E3E" w:rsidRDefault="00543E3E" w:rsidP="00543E3E">
      <w:pPr>
        <w:tabs>
          <w:tab w:val="left" w:pos="1939"/>
        </w:tabs>
      </w:pPr>
      <w:r>
        <w:t xml:space="preserve">The </w:t>
      </w:r>
      <w:r>
        <w:rPr>
          <w:b/>
          <w:bCs/>
        </w:rPr>
        <w:t>per</w:t>
      </w:r>
      <w:r w:rsidRPr="00543E3E">
        <w:rPr>
          <w:b/>
          <w:bCs/>
        </w:rPr>
        <w:t xml:space="preserve">-sample table </w:t>
      </w:r>
      <w:r>
        <w:rPr>
          <w:b/>
          <w:bCs/>
        </w:rPr>
        <w:t>s</w:t>
      </w:r>
      <w:r w:rsidRPr="00543E3E">
        <w:t>hows each sample, the number of detected features, and optionally the original sample name. Includes a row for “All samples” with the total number of features.</w:t>
      </w:r>
      <w:r>
        <w:t xml:space="preserve"> The </w:t>
      </w:r>
      <w:r>
        <w:rPr>
          <w:b/>
          <w:bCs/>
        </w:rPr>
        <w:t>c</w:t>
      </w:r>
      <w:r w:rsidRPr="00543E3E">
        <w:rPr>
          <w:b/>
          <w:bCs/>
        </w:rPr>
        <w:t xml:space="preserve">ondition-level summary table </w:t>
      </w:r>
      <w:r w:rsidRPr="00543E3E">
        <w:t>shows each condition with the mean, minimum, maximum, and standard deviation of detected features across samples</w:t>
      </w:r>
      <w:r>
        <w:t xml:space="preserve"> within a condition</w:t>
      </w:r>
      <w:r w:rsidRPr="00543E3E">
        <w:t>.</w:t>
      </w:r>
      <w:r>
        <w:t xml:space="preserve"> </w:t>
      </w:r>
    </w:p>
    <w:p w14:paraId="4B47A8FF" w14:textId="2E21D0DD" w:rsidR="00AE357E" w:rsidRDefault="00AE357E" w:rsidP="00AE357E">
      <w:pPr>
        <w:tabs>
          <w:tab w:val="left" w:pos="1939"/>
        </w:tabs>
      </w:pPr>
      <w:r w:rsidRPr="00AE357E">
        <w:rPr>
          <w:noProof/>
        </w:rPr>
        <w:drawing>
          <wp:inline distT="0" distB="0" distL="0" distR="0" wp14:anchorId="0545E8A1" wp14:editId="75D1C2F3">
            <wp:extent cx="5760720" cy="3077845"/>
            <wp:effectExtent l="0" t="0" r="0" b="8255"/>
            <wp:docPr id="160032631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26316" name="Picture 1" descr="A screenshot of a graph&#10;&#10;AI-generated content may be incorrect."/>
                    <pic:cNvPicPr/>
                  </pic:nvPicPr>
                  <pic:blipFill>
                    <a:blip r:embed="rId7"/>
                    <a:stretch>
                      <a:fillRect/>
                    </a:stretch>
                  </pic:blipFill>
                  <pic:spPr>
                    <a:xfrm>
                      <a:off x="0" y="0"/>
                      <a:ext cx="5760720" cy="3077845"/>
                    </a:xfrm>
                    <a:prstGeom prst="rect">
                      <a:avLst/>
                    </a:prstGeom>
                  </pic:spPr>
                </pic:pic>
              </a:graphicData>
            </a:graphic>
          </wp:inline>
        </w:drawing>
      </w:r>
    </w:p>
    <w:p w14:paraId="5D319BF7" w14:textId="6EF0D661" w:rsidR="00AE357E" w:rsidRPr="00D028CF" w:rsidRDefault="00AE357E" w:rsidP="00AE357E">
      <w:pPr>
        <w:pStyle w:val="NoSpacing"/>
        <w:jc w:val="both"/>
        <w:rPr>
          <w:sz w:val="16"/>
          <w:szCs w:val="16"/>
        </w:rPr>
      </w:pPr>
      <w:r w:rsidRPr="00D028CF">
        <w:rPr>
          <w:sz w:val="16"/>
          <w:szCs w:val="16"/>
        </w:rPr>
        <w:t xml:space="preserve">Figure </w:t>
      </w:r>
      <w:r>
        <w:rPr>
          <w:sz w:val="16"/>
          <w:szCs w:val="16"/>
        </w:rPr>
        <w:t>3</w:t>
      </w:r>
      <w:r w:rsidRPr="00D028CF">
        <w:rPr>
          <w:sz w:val="16"/>
          <w:szCs w:val="16"/>
        </w:rPr>
        <w:t xml:space="preserve">: </w:t>
      </w:r>
      <w:r>
        <w:rPr>
          <w:sz w:val="16"/>
          <w:szCs w:val="16"/>
        </w:rPr>
        <w:t>Summary</w:t>
      </w:r>
      <w:r w:rsidRPr="00D028CF">
        <w:rPr>
          <w:sz w:val="16"/>
          <w:szCs w:val="16"/>
        </w:rPr>
        <w:t xml:space="preserve"> </w:t>
      </w:r>
      <w:r>
        <w:rPr>
          <w:sz w:val="16"/>
          <w:szCs w:val="16"/>
        </w:rPr>
        <w:t>Table</w:t>
      </w:r>
      <w:r w:rsidRPr="00D028CF">
        <w:rPr>
          <w:sz w:val="16"/>
          <w:szCs w:val="16"/>
        </w:rPr>
        <w:t>.</w:t>
      </w:r>
    </w:p>
    <w:p w14:paraId="2C7D47A0" w14:textId="77777777" w:rsidR="00AE357E" w:rsidRPr="00AE357E" w:rsidRDefault="00AE357E" w:rsidP="00AE357E">
      <w:pPr>
        <w:tabs>
          <w:tab w:val="left" w:pos="1939"/>
        </w:tabs>
      </w:pPr>
    </w:p>
    <w:sectPr w:rsidR="00AE357E" w:rsidRPr="00AE357E"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C4179"/>
    <w:multiLevelType w:val="multilevel"/>
    <w:tmpl w:val="EDD2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2337E"/>
    <w:multiLevelType w:val="multilevel"/>
    <w:tmpl w:val="2EC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A7EDB"/>
    <w:multiLevelType w:val="multilevel"/>
    <w:tmpl w:val="B7DE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320BD"/>
    <w:multiLevelType w:val="multilevel"/>
    <w:tmpl w:val="658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4"/>
  </w:num>
  <w:num w:numId="2" w16cid:durableId="146558385">
    <w:abstractNumId w:val="1"/>
  </w:num>
  <w:num w:numId="3" w16cid:durableId="665323425">
    <w:abstractNumId w:val="0"/>
  </w:num>
  <w:num w:numId="4" w16cid:durableId="359479049">
    <w:abstractNumId w:val="3"/>
  </w:num>
  <w:num w:numId="5" w16cid:durableId="118089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86E"/>
    <w:rsid w:val="002039B5"/>
    <w:rsid w:val="002500B0"/>
    <w:rsid w:val="003D5354"/>
    <w:rsid w:val="00543E3E"/>
    <w:rsid w:val="00624E11"/>
    <w:rsid w:val="006E4C38"/>
    <w:rsid w:val="0091286E"/>
    <w:rsid w:val="009F0CC7"/>
    <w:rsid w:val="00A1744F"/>
    <w:rsid w:val="00A525D3"/>
    <w:rsid w:val="00AE357E"/>
    <w:rsid w:val="00D028CF"/>
    <w:rsid w:val="00D04805"/>
    <w:rsid w:val="00E15813"/>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4458"/>
  <w15:chartTrackingRefBased/>
  <w15:docId w15:val="{23434CCE-1C5F-404A-B765-4A7C8CDE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86E"/>
    <w:rPr>
      <w:rFonts w:eastAsiaTheme="majorEastAsia" w:cstheme="majorBidi"/>
      <w:color w:val="272727" w:themeColor="text1" w:themeTint="D8"/>
    </w:rPr>
  </w:style>
  <w:style w:type="paragraph" w:styleId="Title">
    <w:name w:val="Title"/>
    <w:basedOn w:val="Normal"/>
    <w:next w:val="Normal"/>
    <w:link w:val="TitleChar"/>
    <w:uiPriority w:val="10"/>
    <w:qFormat/>
    <w:rsid w:val="00912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86E"/>
    <w:pPr>
      <w:spacing w:before="160"/>
      <w:jc w:val="center"/>
    </w:pPr>
    <w:rPr>
      <w:i/>
      <w:iCs/>
      <w:color w:val="404040" w:themeColor="text1" w:themeTint="BF"/>
    </w:rPr>
  </w:style>
  <w:style w:type="character" w:customStyle="1" w:styleId="QuoteChar">
    <w:name w:val="Quote Char"/>
    <w:basedOn w:val="DefaultParagraphFont"/>
    <w:link w:val="Quote"/>
    <w:uiPriority w:val="29"/>
    <w:rsid w:val="0091286E"/>
    <w:rPr>
      <w:i/>
      <w:iCs/>
      <w:color w:val="404040" w:themeColor="text1" w:themeTint="BF"/>
    </w:rPr>
  </w:style>
  <w:style w:type="paragraph" w:styleId="ListParagraph">
    <w:name w:val="List Paragraph"/>
    <w:basedOn w:val="Normal"/>
    <w:uiPriority w:val="34"/>
    <w:qFormat/>
    <w:rsid w:val="0091286E"/>
    <w:pPr>
      <w:ind w:left="720"/>
      <w:contextualSpacing/>
    </w:pPr>
  </w:style>
  <w:style w:type="character" w:styleId="IntenseEmphasis">
    <w:name w:val="Intense Emphasis"/>
    <w:basedOn w:val="DefaultParagraphFont"/>
    <w:uiPriority w:val="21"/>
    <w:qFormat/>
    <w:rsid w:val="0091286E"/>
    <w:rPr>
      <w:i/>
      <w:iCs/>
      <w:color w:val="0F4761" w:themeColor="accent1" w:themeShade="BF"/>
    </w:rPr>
  </w:style>
  <w:style w:type="paragraph" w:styleId="IntenseQuote">
    <w:name w:val="Intense Quote"/>
    <w:basedOn w:val="Normal"/>
    <w:next w:val="Normal"/>
    <w:link w:val="IntenseQuoteChar"/>
    <w:uiPriority w:val="30"/>
    <w:qFormat/>
    <w:rsid w:val="00912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86E"/>
    <w:rPr>
      <w:i/>
      <w:iCs/>
      <w:color w:val="0F4761" w:themeColor="accent1" w:themeShade="BF"/>
    </w:rPr>
  </w:style>
  <w:style w:type="character" w:styleId="IntenseReference">
    <w:name w:val="Intense Reference"/>
    <w:basedOn w:val="DefaultParagraphFont"/>
    <w:uiPriority w:val="32"/>
    <w:qFormat/>
    <w:rsid w:val="0091286E"/>
    <w:rPr>
      <w:b/>
      <w:bCs/>
      <w:smallCaps/>
      <w:color w:val="0F4761" w:themeColor="accent1" w:themeShade="BF"/>
      <w:spacing w:val="5"/>
    </w:rPr>
  </w:style>
  <w:style w:type="paragraph" w:styleId="NoSpacing">
    <w:name w:val="No Spacing"/>
    <w:uiPriority w:val="1"/>
    <w:qFormat/>
    <w:rsid w:val="009128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4</cp:revision>
  <dcterms:created xsi:type="dcterms:W3CDTF">2025-11-18T09:20:00Z</dcterms:created>
  <dcterms:modified xsi:type="dcterms:W3CDTF">2025-11-19T09:18:00Z</dcterms:modified>
</cp:coreProperties>
</file>