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28CA" w14:textId="44B8FE9C" w:rsidR="001802FD" w:rsidRPr="001802FD" w:rsidRDefault="001802FD" w:rsidP="001802FD">
      <w:pPr>
        <w:pStyle w:val="NoSpacing"/>
        <w:rPr>
          <w:b/>
          <w:bCs/>
          <w:sz w:val="36"/>
          <w:szCs w:val="36"/>
        </w:rPr>
      </w:pPr>
      <w:r w:rsidRPr="001802FD">
        <w:rPr>
          <w:b/>
          <w:bCs/>
          <w:sz w:val="36"/>
          <w:szCs w:val="36"/>
        </w:rPr>
        <w:t>Histogram Intensity Manual</w:t>
      </w:r>
    </w:p>
    <w:p w14:paraId="5F319121" w14:textId="77777777" w:rsidR="001802FD" w:rsidRPr="001802FD" w:rsidRDefault="001802FD" w:rsidP="001802FD">
      <w:pPr>
        <w:pStyle w:val="NoSpacing"/>
      </w:pPr>
    </w:p>
    <w:p w14:paraId="1EE49354" w14:textId="55CD301F" w:rsidR="001802FD" w:rsidRPr="001802FD" w:rsidRDefault="001802FD" w:rsidP="001802FD">
      <w:pPr>
        <w:pStyle w:val="NoSpacing"/>
        <w:rPr>
          <w:b/>
          <w:bCs/>
        </w:rPr>
      </w:pPr>
      <w:r w:rsidRPr="001802FD">
        <w:rPr>
          <w:b/>
          <w:bCs/>
        </w:rPr>
        <w:t>1. User Interface (UI)</w:t>
      </w:r>
    </w:p>
    <w:p w14:paraId="37E6DB0B" w14:textId="77777777" w:rsidR="001802FD" w:rsidRPr="001802FD" w:rsidRDefault="001802FD" w:rsidP="001802FD">
      <w:pPr>
        <w:pStyle w:val="NoSpacing"/>
      </w:pPr>
    </w:p>
    <w:p w14:paraId="019F9E1A" w14:textId="77777777" w:rsidR="001802FD" w:rsidRDefault="001802FD" w:rsidP="001802FD">
      <w:pPr>
        <w:pStyle w:val="NoSpacing"/>
      </w:pPr>
      <w:r w:rsidRPr="007957F7">
        <w:t>In the upper-right section of the user interface, you will find a set of controls for customizing the plot:</w:t>
      </w:r>
    </w:p>
    <w:p w14:paraId="669DF6F5" w14:textId="2999A9D8" w:rsidR="001802FD" w:rsidRPr="0091286E" w:rsidRDefault="001802FD" w:rsidP="001802FD">
      <w:pPr>
        <w:pStyle w:val="NoSpacing"/>
      </w:pPr>
    </w:p>
    <w:p w14:paraId="551804F2" w14:textId="77777777" w:rsidR="001802FD" w:rsidRDefault="001802FD" w:rsidP="001802FD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Toggle Header</w:t>
      </w:r>
      <w:r w:rsidRPr="007957F7">
        <w:t>: Enables or disables the display of the header in the plot.</w:t>
      </w:r>
    </w:p>
    <w:p w14:paraId="15829FFE" w14:textId="77777777" w:rsidR="001802FD" w:rsidRDefault="001802FD" w:rsidP="001802FD">
      <w:pPr>
        <w:pStyle w:val="NoSpacing"/>
        <w:numPr>
          <w:ilvl w:val="0"/>
          <w:numId w:val="1"/>
        </w:numPr>
      </w:pPr>
      <w:r w:rsidRPr="0091286E">
        <w:rPr>
          <w:b/>
          <w:bCs/>
        </w:rPr>
        <w:t>Toggle Legend</w:t>
      </w:r>
      <w:r>
        <w:t xml:space="preserve">: </w:t>
      </w:r>
      <w:r w:rsidRPr="007957F7">
        <w:t xml:space="preserve">Enables or disables the display of the </w:t>
      </w:r>
      <w:r>
        <w:t>legend</w:t>
      </w:r>
      <w:r w:rsidRPr="007957F7">
        <w:t xml:space="preserve"> in the plot.</w:t>
      </w:r>
    </w:p>
    <w:p w14:paraId="4F409236" w14:textId="77777777" w:rsidR="001802FD" w:rsidRPr="007957F7" w:rsidRDefault="001802FD" w:rsidP="001802FD">
      <w:pPr>
        <w:pStyle w:val="NoSpacing"/>
        <w:numPr>
          <w:ilvl w:val="0"/>
          <w:numId w:val="1"/>
        </w:numPr>
      </w:pPr>
      <w:r w:rsidRPr="0091286E">
        <w:rPr>
          <w:b/>
          <w:bCs/>
        </w:rPr>
        <w:t>Levels</w:t>
      </w:r>
      <w:r w:rsidRPr="007957F7">
        <w:t>: Allows selection of the data set to visualize. Available options include:</w:t>
      </w:r>
    </w:p>
    <w:p w14:paraId="7B3611A2" w14:textId="77777777" w:rsidR="001802FD" w:rsidRPr="007957F7" w:rsidRDefault="001802FD" w:rsidP="001802FD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Protein</w:t>
      </w:r>
      <w:r w:rsidRPr="007957F7">
        <w:t xml:space="preserve"> – available after uploading protein-level data.</w:t>
      </w:r>
    </w:p>
    <w:p w14:paraId="644F62E5" w14:textId="77777777" w:rsidR="001802FD" w:rsidRPr="007957F7" w:rsidRDefault="001802FD" w:rsidP="001802FD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Phosphosite</w:t>
      </w:r>
      <w:r w:rsidRPr="007957F7">
        <w:t xml:space="preserve"> – available after uploading the phosphosite-level data.</w:t>
      </w:r>
    </w:p>
    <w:p w14:paraId="5491CC86" w14:textId="77777777" w:rsidR="001802FD" w:rsidRPr="007957F7" w:rsidRDefault="001802FD" w:rsidP="001802FD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Phosphoprotein</w:t>
      </w:r>
      <w:r w:rsidRPr="007957F7">
        <w:t xml:space="preserve"> – available after initializing a collapsing pipeline for the phosphosite-level data</w:t>
      </w:r>
      <w:r>
        <w:t>.</w:t>
      </w:r>
    </w:p>
    <w:p w14:paraId="6A7332BD" w14:textId="77777777" w:rsidR="001802FD" w:rsidRPr="007957F7" w:rsidRDefault="001802FD" w:rsidP="001802FD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Plot Width, Height, and DPI</w:t>
      </w:r>
      <w:r w:rsidRPr="007957F7">
        <w:t>: Adjust the dimensions and resolution of the plot for download.</w:t>
      </w:r>
    </w:p>
    <w:p w14:paraId="606E7525" w14:textId="77777777" w:rsidR="001802FD" w:rsidRPr="007957F7" w:rsidRDefault="001802FD" w:rsidP="001802FD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Format</w:t>
      </w:r>
      <w:r w:rsidRPr="007957F7">
        <w:t>: Choose the file format for downloading the plot, including PNG, JPG, SVG, or PDF.</w:t>
      </w:r>
    </w:p>
    <w:p w14:paraId="0890E948" w14:textId="77777777" w:rsidR="001802FD" w:rsidRDefault="001802FD" w:rsidP="001802FD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Button</w:t>
      </w:r>
      <w:r w:rsidRPr="007957F7">
        <w:t>: Exports the plot according to the selected settings. Note that changes in size affect only the downloaded plot and do not modify the display in the interface.</w:t>
      </w:r>
    </w:p>
    <w:p w14:paraId="4E9540EA" w14:textId="14C917B8" w:rsidR="001802FD" w:rsidRDefault="001802FD" w:rsidP="001802FD">
      <w:pPr>
        <w:pStyle w:val="NoSpacing"/>
      </w:pPr>
    </w:p>
    <w:p w14:paraId="4B572B1A" w14:textId="260B94D2" w:rsidR="00F7384A" w:rsidRPr="00F7384A" w:rsidRDefault="00F7384A" w:rsidP="001802FD">
      <w:pPr>
        <w:pStyle w:val="NoSpacing"/>
        <w:rPr>
          <w:b/>
          <w:bCs/>
        </w:rPr>
      </w:pPr>
      <w:r w:rsidRPr="00F7384A">
        <w:rPr>
          <w:b/>
          <w:bCs/>
        </w:rPr>
        <w:t xml:space="preserve">2. </w:t>
      </w:r>
      <w:r w:rsidR="00D72E9D">
        <w:rPr>
          <w:b/>
          <w:bCs/>
        </w:rPr>
        <w:t>Histogram Intensity</w:t>
      </w:r>
    </w:p>
    <w:p w14:paraId="598C706B" w14:textId="77777777" w:rsidR="00F7384A" w:rsidRDefault="00F7384A" w:rsidP="001802FD">
      <w:pPr>
        <w:pStyle w:val="NoSpacing"/>
      </w:pPr>
    </w:p>
    <w:p w14:paraId="55174A1A" w14:textId="77777777" w:rsidR="00464BD6" w:rsidRDefault="00464BD6" w:rsidP="00464BD6">
      <w:pPr>
        <w:pStyle w:val="NoSpacing"/>
        <w:jc w:val="both"/>
      </w:pPr>
      <w:r w:rsidRPr="00464BD6">
        <w:t xml:space="preserve">The </w:t>
      </w:r>
      <w:r w:rsidRPr="00464BD6">
        <w:rPr>
          <w:b/>
          <w:bCs/>
        </w:rPr>
        <w:t>histo_int</w:t>
      </w:r>
      <w:r w:rsidRPr="00464BD6">
        <w:t xml:space="preserve"> function initializes and generates the histogram of intensity values. It processes the log₂-transformed intensity data and plots them as density histograms. The x-axis represents the log₂ intensity values, while the y-axis indicates their relative frequency.</w:t>
      </w:r>
    </w:p>
    <w:p w14:paraId="272AEA2A" w14:textId="77777777" w:rsidR="00464BD6" w:rsidRDefault="00464BD6" w:rsidP="00464BD6">
      <w:pPr>
        <w:pStyle w:val="NoSpacing"/>
        <w:jc w:val="both"/>
      </w:pPr>
    </w:p>
    <w:p w14:paraId="7433C0D0" w14:textId="143C960E" w:rsidR="00464BD6" w:rsidRDefault="00464BD6" w:rsidP="00464BD6">
      <w:pPr>
        <w:pStyle w:val="NoSpacing"/>
        <w:jc w:val="both"/>
      </w:pPr>
      <w:r w:rsidRPr="00464BD6">
        <w:rPr>
          <w:noProof/>
        </w:rPr>
        <w:drawing>
          <wp:inline distT="0" distB="0" distL="0" distR="0" wp14:anchorId="2C0BF27A" wp14:editId="1F4F08B9">
            <wp:extent cx="5424674" cy="3420319"/>
            <wp:effectExtent l="0" t="0" r="5080" b="8890"/>
            <wp:docPr id="1458743206" name="Picture 1" descr="A graph of a log 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3206" name="Picture 1" descr="A graph of a log 2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5361" cy="34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45EB" w14:textId="63823951" w:rsidR="00464BD6" w:rsidRPr="00464BD6" w:rsidRDefault="00464BD6" w:rsidP="00464BD6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Figure 1: Histogram of condition-wise mean log2</w:t>
      </w:r>
      <w:r w:rsidR="00F7384A">
        <w:rPr>
          <w:sz w:val="16"/>
          <w:szCs w:val="16"/>
        </w:rPr>
        <w:t>-</w:t>
      </w:r>
      <w:r>
        <w:rPr>
          <w:sz w:val="16"/>
          <w:szCs w:val="16"/>
        </w:rPr>
        <w:t>intensity values and their relative frequency.</w:t>
      </w:r>
    </w:p>
    <w:p w14:paraId="7982B19E" w14:textId="3D85F3CE" w:rsidR="00464BD6" w:rsidRDefault="00464BD6" w:rsidP="00464BD6">
      <w:pPr>
        <w:pStyle w:val="NoSpacing"/>
        <w:jc w:val="both"/>
      </w:pPr>
      <w:r w:rsidRPr="00464BD6">
        <w:lastRenderedPageBreak/>
        <w:t xml:space="preserve">Intensity values are evaluated on a per-condition basis: for each feature (e.g., protein), the mean value across all replicates (row-wise) </w:t>
      </w:r>
      <w:r>
        <w:t>within the conditions are</w:t>
      </w:r>
      <w:r w:rsidRPr="00464BD6">
        <w:t xml:space="preserve"> calculated. The resulting condition-specific vector</w:t>
      </w:r>
      <w:r>
        <w:t>s</w:t>
      </w:r>
      <w:r w:rsidRPr="00464BD6">
        <w:t xml:space="preserve"> </w:t>
      </w:r>
      <w:r>
        <w:t>are</w:t>
      </w:r>
      <w:r w:rsidRPr="00464BD6">
        <w:t xml:space="preserve"> then used for visualization. Each condition is displayed as a separate histogram, distinguished by color.</w:t>
      </w:r>
    </w:p>
    <w:p w14:paraId="39E290FC" w14:textId="77777777" w:rsidR="00464BD6" w:rsidRPr="00464BD6" w:rsidRDefault="00464BD6" w:rsidP="00464BD6">
      <w:pPr>
        <w:pStyle w:val="NoSpacing"/>
        <w:jc w:val="both"/>
      </w:pPr>
    </w:p>
    <w:p w14:paraId="25E4E300" w14:textId="77777777" w:rsidR="00464BD6" w:rsidRPr="00464BD6" w:rsidRDefault="00464BD6" w:rsidP="00464BD6">
      <w:pPr>
        <w:pStyle w:val="NoSpacing"/>
        <w:jc w:val="both"/>
      </w:pPr>
      <w:r w:rsidRPr="00464BD6">
        <w:t>These histograms provide an overview of the data distribution, allowing users to assess whether the values approximate a normal distribution or show deviations from it. For high-quality data, not only should each condition exhibit an approximately normal distribution, but the overall distributional shapes across conditions should also be similar.</w:t>
      </w:r>
    </w:p>
    <w:p w14:paraId="5E782876" w14:textId="5D5D0861" w:rsidR="001802FD" w:rsidRPr="001802FD" w:rsidRDefault="001802FD" w:rsidP="00464BD6">
      <w:pPr>
        <w:pStyle w:val="NoSpacing"/>
      </w:pPr>
    </w:p>
    <w:sectPr w:rsidR="001802FD" w:rsidRPr="001802FD" w:rsidSect="00E7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341CC"/>
    <w:multiLevelType w:val="multilevel"/>
    <w:tmpl w:val="BEE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FD"/>
    <w:rsid w:val="001802FD"/>
    <w:rsid w:val="002039B5"/>
    <w:rsid w:val="002500B0"/>
    <w:rsid w:val="003D5354"/>
    <w:rsid w:val="00464BD6"/>
    <w:rsid w:val="00624E11"/>
    <w:rsid w:val="006E4C38"/>
    <w:rsid w:val="00A1744F"/>
    <w:rsid w:val="00A525D3"/>
    <w:rsid w:val="00D51CA3"/>
    <w:rsid w:val="00D72E9D"/>
    <w:rsid w:val="00E77686"/>
    <w:rsid w:val="00F7384A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68B26"/>
  <w15:chartTrackingRefBased/>
  <w15:docId w15:val="{9972754F-7B14-43C2-B483-0A51579C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02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Marx</dc:creator>
  <cp:keywords/>
  <dc:description/>
  <cp:lastModifiedBy>Jonas Marx</cp:lastModifiedBy>
  <cp:revision>3</cp:revision>
  <cp:lastPrinted>2025-11-19T09:17:00Z</cp:lastPrinted>
  <dcterms:created xsi:type="dcterms:W3CDTF">2025-11-19T08:58:00Z</dcterms:created>
  <dcterms:modified xsi:type="dcterms:W3CDTF">2025-11-19T09:27:00Z</dcterms:modified>
</cp:coreProperties>
</file>