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AA" w:rsidRPr="00A3717D" w:rsidRDefault="00FA5EAA" w:rsidP="00FA5EAA">
      <w:pPr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 xml:space="preserve">Additional file </w:t>
      </w:r>
      <w:r>
        <w:rPr>
          <w:rFonts w:ascii="Times New Roman" w:hAnsi="Times New Roman"/>
          <w:b/>
          <w:sz w:val="20"/>
          <w:szCs w:val="20"/>
          <w:lang w:val="en-GB"/>
        </w:rPr>
        <w:t>4: Case study</w:t>
      </w:r>
      <w:r>
        <w:rPr>
          <w:rFonts w:ascii="Times New Roman" w:hAnsi="Times New Roman"/>
          <w:b/>
          <w:sz w:val="20"/>
          <w:szCs w:val="20"/>
          <w:lang w:val="en-GB"/>
        </w:rPr>
        <w:t xml:space="preserve"> – description, dataset, syntax, and output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sz w:val="20"/>
          <w:szCs w:val="20"/>
          <w:lang w:val="en-GB"/>
        </w:rPr>
        <w:t>Description of the case study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In order to illustrate the theoretical considerations learnt from the simulation study, we applied the same approach to a real world dataset focusing on the inter-rater agreement in the histopathological assessment of breast cancer as used for epidemiological studies and clinical decision-making. The first n=50 breast cancer biopsies of the year 2013 that had been sent in for routine histopathological diagnostics </w:t>
      </w:r>
      <w:r>
        <w:rPr>
          <w:rFonts w:ascii="Times New Roman" w:hAnsi="Times New Roman"/>
          <w:sz w:val="20"/>
          <w:szCs w:val="20"/>
          <w:lang w:val="en-GB"/>
        </w:rPr>
        <w:t xml:space="preserve">at the Institute of Pathology,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Diagnostik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Ernst von Bergmann GmbH (Potsdam, Germany),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were retrospectively included in the study. For the present study, the samples were independently re-evaluated by four senior pathologists, who are experienced in breast cancer pathology and immunohistochemistry, and who were blinded to the primary diagnosis and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immunohistochemical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staining results. The lesions had primarily been identified as invasive ductal (n=46), invasive lobular (n=3) or mucinous (n=1) breast carcinoma;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immunohistochemical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examinations of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estrogen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receptor (ER), progesterone receptor (PR), proliferation index (MIB-1) and human epidermal growth factor receptor 2 (HER-2) had primarily been executed at the time of clinical diagnosis, using a standardized staining system (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BenchMark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GX, Roche, Berlin, Germany). Evaluation of immunohistochemistry had been carried out according to the German guidelines for breast cancer [1] (pp. 96-98). For ER and PR, the staining intensity was graded as absent (0), weak (1), moderate (2) or strong (3), the percentage of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immunoreactive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cells was estimated in steps of ten-percent and pooled in groups as ‘no stained receptors’ (0), ‘&lt; 10%’ (1), ‘10-50%’ (2), ‘51-80%’ (3) and ‘&gt;80%’ (4). However, if the percentage was below ten percent, an attempt was made to assign percentages with accuracy of one percent-increments. Staining intensity and percentage were combined to a so-called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immunoreactive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score (IRS) [2]. For MIB-1 the percentage was evaluated in the same manner irrespective of the staining intensity. The HER-2 staining was evaluated according to current national and international practice [1 (pp. 99-100), 3]: Score 0, staining in no more than 10 %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cells; Score 1+, incomplete membranous staining in more than 10 %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cells; Score 2+, weak or moderate complete membranous staining in more than 10 %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cells; Score 3+, strong complete membranous staining in more than 10 %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cells. Additionally, we dichotomized the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immunoreactive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score (IRS) (which is used for ER detection and results from multiplication of ER staining intensity with the category of proportion of reactive cells): We regarded IRS 0-2 negative and IRS ≥3 positive for ER expression [2]. MIB-1 was defined as negative if less than 20%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tumor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cells were found, and above as positive [4]. HER-2 was negative if an original score of 0 or 1 was present, positive if it was 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3,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 xml:space="preserve"> and intermediate if 2 [3]. We evaluated all measures of interest using Fleiss’ K and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Krippendorff’s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alpha with their CIs as described for the simulation study.</w:t>
      </w:r>
    </w:p>
    <w:p w:rsidR="00FA5EAA" w:rsidRDefault="00FA5EAA" w:rsidP="00FA5EAA">
      <w:pPr>
        <w:rPr>
          <w:rFonts w:ascii="Times New Roman" w:hAnsi="Times New Roman" w:cs="Times New Roman"/>
          <w:sz w:val="20"/>
          <w:szCs w:val="20"/>
          <w:lang w:val="en-GB"/>
        </w:rPr>
      </w:pPr>
    </w:p>
    <w:p w:rsidR="00FA5EAA" w:rsidRDefault="00FA5EAA" w:rsidP="00FA5EAA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[1] Interdisciplinary S3 Guidelines for the Diagnosis, Treatment and Follow-up Care of Breast Cancer. Long version 3.0, Update 2012, German Cancer Society and German Society for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Gynecology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and Obstetrics</w:t>
      </w:r>
    </w:p>
    <w:p w:rsidR="00FA5EAA" w:rsidRDefault="00FA5EAA" w:rsidP="00FA5EAA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[2]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Remmele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W,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Stegner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HE. 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 xml:space="preserve">Recommendation for uniform definition of an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immunoreactive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score (IRS) for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immunohistochemical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estrogen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receptor detection (ER-ICA) in breast cancer tissue.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Pathologe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1987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;8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>(3):138-40</w:t>
      </w:r>
    </w:p>
    <w:p w:rsidR="00FA5EAA" w:rsidRDefault="00FA5EAA" w:rsidP="00FA5EAA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[3] Carlson RW,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Moench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SJ, Hammond ME, Perez EA, Burstein HJ, Allred DC, Vogel CL, Goldstein LJ,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Somlo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G,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Gradishar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WJ,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Hudis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CA,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Jahanzeb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M, Stark A, Wolff AC, Press MF, Winer EP, Paik S,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Ljung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BM; NCCN HER2 Testing in Breast Cancer Task Force. HER2 testing in breast cancer: NCCN Task Force report and recommendations. Journal of National Comprehensive Cancer Network 2006 Jul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;4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Suppl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3:S1-22</w:t>
      </w:r>
    </w:p>
    <w:p w:rsidR="00FA5EAA" w:rsidRDefault="00FA5EAA" w:rsidP="00FA5EAA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[4] Rocca A,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Farolfi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A,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Maltoni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R,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Carretta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E,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Melegari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E,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Ferrario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C,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Cecconetto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L,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Sarti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S,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Schirone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A,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Fedeli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A,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Andreis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D,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Pietri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E, Ibrahim T,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Montalto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E,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Amadori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D. Efficacy of endocrine therapy in relation to progesterone receptor and Ki67 expression in advanced breast cancer. Breast Cancer Research and Treatment 2015</w:t>
      </w:r>
      <w:proofErr w:type="gramStart"/>
      <w:r>
        <w:rPr>
          <w:rFonts w:ascii="Times New Roman" w:hAnsi="Times New Roman" w:cs="Times New Roman"/>
          <w:sz w:val="20"/>
          <w:szCs w:val="20"/>
          <w:lang w:val="en-GB"/>
        </w:rPr>
        <w:t>;152:57</w:t>
      </w:r>
      <w:proofErr w:type="gramEnd"/>
      <w:r>
        <w:rPr>
          <w:rFonts w:ascii="Times New Roman" w:hAnsi="Times New Roman" w:cs="Times New Roman"/>
          <w:sz w:val="20"/>
          <w:szCs w:val="20"/>
          <w:lang w:val="en-GB"/>
        </w:rPr>
        <w:t>-65.</w:t>
      </w:r>
    </w:p>
    <w:p w:rsidR="00FA5EAA" w:rsidRDefault="00FA5EAA" w:rsidP="00FA5EAA">
      <w:pPr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br w:type="page"/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sz w:val="20"/>
          <w:szCs w:val="20"/>
          <w:lang w:val="en-GB"/>
        </w:rPr>
        <w:lastRenderedPageBreak/>
        <w:t>Example dataset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Rater 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Rater 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Rater 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Rater D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1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3</w:t>
            </w:r>
          </w:p>
        </w:tc>
      </w:tr>
      <w:tr w:rsidR="00FA5EAA" w:rsidTr="003C06A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EAA" w:rsidRDefault="00FA5EAA" w:rsidP="003C06AD">
            <w:pPr>
              <w:keepNext/>
              <w:jc w:val="both"/>
              <w:rPr>
                <w:rFonts w:ascii="Times New Roman" w:hAnsi="Times New Roman"/>
                <w:b/>
                <w:lang w:val="en-GB" w:eastAsia="de-DE"/>
              </w:rPr>
            </w:pPr>
            <w:r>
              <w:rPr>
                <w:rFonts w:ascii="Times New Roman" w:hAnsi="Times New Roman"/>
                <w:lang w:eastAsia="de-DE"/>
              </w:rPr>
              <w:t>0</w:t>
            </w:r>
          </w:p>
        </w:tc>
      </w:tr>
    </w:tbl>
    <w:p w:rsidR="00FA5EAA" w:rsidRP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:rsidR="00FA5EAA" w:rsidRDefault="00FA5EAA">
      <w:pPr>
        <w:rPr>
          <w:rFonts w:ascii="Times New Roman" w:hAnsi="Times New Roman" w:cs="Times New Roman"/>
          <w:i/>
          <w:sz w:val="20"/>
          <w:szCs w:val="20"/>
          <w:lang w:val="en-GB"/>
        </w:rPr>
      </w:pPr>
      <w:r>
        <w:rPr>
          <w:rFonts w:ascii="Times New Roman" w:hAnsi="Times New Roman" w:cs="Times New Roman"/>
          <w:i/>
          <w:sz w:val="20"/>
          <w:szCs w:val="20"/>
          <w:lang w:val="en-GB"/>
        </w:rPr>
        <w:br w:type="page"/>
      </w:r>
    </w:p>
    <w:p w:rsidR="00FA5EAA" w:rsidRPr="00A3717D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bookmarkStart w:id="0" w:name="_GoBack"/>
      <w:bookmarkEnd w:id="0"/>
      <w:r w:rsidRPr="00A3717D">
        <w:rPr>
          <w:rFonts w:ascii="Times New Roman" w:hAnsi="Times New Roman" w:cs="Times New Roman"/>
          <w:i/>
          <w:sz w:val="20"/>
          <w:szCs w:val="20"/>
          <w:lang w:val="en-GB"/>
        </w:rPr>
        <w:lastRenderedPageBreak/>
        <w:t xml:space="preserve">Syntax for example dataset </w:t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t xml:space="preserve">(see </w:t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fldChar w:fldCharType="begin"/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instrText xml:space="preserve"> REF _Ref436207874 \h  \* MERGEFORMAT </w:instrText>
      </w:r>
      <w:r w:rsidRPr="00A3717D">
        <w:rPr>
          <w:rFonts w:ascii="Times New Roman" w:hAnsi="Times New Roman" w:cs="Times New Roman"/>
          <w:sz w:val="20"/>
          <w:szCs w:val="20"/>
          <w:lang w:val="en-GB"/>
        </w:rPr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fldChar w:fldCharType="separate"/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t xml:space="preserve">Table S </w:t>
      </w:r>
      <w:r w:rsidRPr="00A3717D">
        <w:rPr>
          <w:rFonts w:ascii="Times New Roman" w:hAnsi="Times New Roman" w:cs="Times New Roman"/>
          <w:noProof/>
          <w:sz w:val="20"/>
          <w:szCs w:val="20"/>
          <w:lang w:val="en-GB"/>
        </w:rPr>
        <w:t>1</w:t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fldChar w:fldCharType="end"/>
      </w:r>
      <w:r w:rsidRPr="00A3717D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k_alpha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(data)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k_alpha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(data, scaling=”ordinal”)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FA5EAA" w:rsidRPr="00A3717D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A3717D">
        <w:rPr>
          <w:rFonts w:ascii="Times New Roman" w:hAnsi="Times New Roman"/>
          <w:i/>
          <w:sz w:val="20"/>
          <w:szCs w:val="20"/>
          <w:lang w:val="en-GB"/>
        </w:rPr>
        <w:t>Output for example syntax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k_alpha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(data)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[1] "The measurement scale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is  nominal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."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"###### Fleiss' K ######"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"The observed agreement in all complete cases is 44 %."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"N (number of subjects without missing values) = 50"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"n (number of ratings) = 4"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[1] "k (number of categories)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=  5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"Point estimator of Fleiss' K = 0.5625"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"Asymptotic two-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sided  95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% confidence interval for Fleiss' K: 0.4964  ;  0.6286"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"Two-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sided  95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% Bootstrap confidence interval for Fleiss' K: 0.4454  ;  0.6652"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[1] "######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Krippendorff's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alpha ######"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"The observed agreement in all cases with at least two ratings is 44 %."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"N (number of subjects with two or more ratings) = 50"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"n (number of ratings) = 4"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[1] "k (number of categories)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=  5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[1] "Point estimator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Krippendorff's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alpha = 0.5647"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[1] "Two-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sided  95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% Bootstrap confidence interval for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>Krippendorff's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  <w:t xml:space="preserve"> alpha: 0.4524  ;  0.6683"</w:t>
      </w: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</w:p>
    <w:p w:rsidR="00FA5EAA" w:rsidRDefault="00FA5EAA" w:rsidP="00FA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1E2E5"/>
          <w:lang w:val="en-US" w:eastAsia="de-DE"/>
        </w:rPr>
      </w:pP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&gt;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k_alpha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 (data, scaling=”ordinal”)</w:t>
      </w:r>
    </w:p>
    <w:p w:rsidR="00FA5EAA" w:rsidRDefault="00FA5EAA" w:rsidP="00FA5EA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[1] "The measurement scale </w:t>
      </w:r>
      <w:proofErr w:type="gramStart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is  ordinal</w:t>
      </w:r>
      <w:proofErr w:type="gramEnd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 ."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[1] "###### Fleiss' K ######"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[1] "Fleiss' K cannot be calculated, because it is only appropriate for nominal data."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[1] "###### </w:t>
      </w:r>
      <w:proofErr w:type="spellStart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Krippendorff's</w:t>
      </w:r>
      <w:proofErr w:type="spellEnd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 alpha ######"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[1] "The observed agreement in all cases with at least two ratings is 44 %."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[1] "N (number of subjects with two or more ratings) = 50"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[1] "n (number of ratings) = 4"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[1] "k (number of categories) </w:t>
      </w:r>
      <w:proofErr w:type="gramStart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=  5</w:t>
      </w:r>
      <w:proofErr w:type="gramEnd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"</w:t>
      </w:r>
    </w:p>
    <w:p w:rsid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[1] "Point estimator of </w:t>
      </w:r>
      <w:proofErr w:type="spellStart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Krippendorff's</w:t>
      </w:r>
      <w:proofErr w:type="spellEnd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 alpha = 0.8343"</w:t>
      </w:r>
    </w:p>
    <w:p w:rsidR="00BB54B5" w:rsidRPr="00FA5EAA" w:rsidRDefault="00FA5EAA" w:rsidP="00FA5EAA">
      <w:pPr>
        <w:pStyle w:val="HTMLVorformatiert"/>
        <w:rPr>
          <w:rFonts w:ascii="Times New Roman" w:hAnsi="Times New Roman" w:cs="Times New Roman"/>
          <w:color w:val="000000"/>
          <w:shd w:val="clear" w:color="auto" w:fill="E1E2E5"/>
          <w:lang w:val="en-US"/>
        </w:rPr>
      </w:pP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[1] "Two-</w:t>
      </w:r>
      <w:proofErr w:type="gramStart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sided  95</w:t>
      </w:r>
      <w:proofErr w:type="gramEnd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 % Bootstrap confidence interval for </w:t>
      </w:r>
      <w:proofErr w:type="spellStart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Krippendo</w:t>
      </w:r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>rff's</w:t>
      </w:r>
      <w:proofErr w:type="spellEnd"/>
      <w:r>
        <w:rPr>
          <w:rFonts w:ascii="Times New Roman" w:hAnsi="Times New Roman" w:cs="Times New Roman"/>
          <w:color w:val="000000"/>
          <w:shd w:val="clear" w:color="auto" w:fill="E1E2E5"/>
          <w:lang w:val="en-US"/>
        </w:rPr>
        <w:t xml:space="preserve"> alpha: 0.7122  ;  0.9007"</w:t>
      </w:r>
    </w:p>
    <w:sectPr w:rsidR="00BB54B5" w:rsidRPr="00FA5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AA"/>
    <w:rsid w:val="00BB54B5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E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A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A5EA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99"/>
    <w:semiHidden/>
    <w:unhideWhenUsed/>
    <w:qFormat/>
    <w:rsid w:val="00FA5EAA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table" w:styleId="Tabellenraster">
    <w:name w:val="Table Grid"/>
    <w:basedOn w:val="NormaleTabelle"/>
    <w:uiPriority w:val="99"/>
    <w:rsid w:val="00FA5EA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5E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A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A5EA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99"/>
    <w:semiHidden/>
    <w:unhideWhenUsed/>
    <w:qFormat/>
    <w:rsid w:val="00FA5EAA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table" w:styleId="Tabellenraster">
    <w:name w:val="Table Grid"/>
    <w:basedOn w:val="NormaleTabelle"/>
    <w:uiPriority w:val="99"/>
    <w:rsid w:val="00FA5EA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Göttingen</Company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azapf</dc:creator>
  <cp:lastModifiedBy>azapf</cp:lastModifiedBy>
  <cp:revision>1</cp:revision>
  <dcterms:created xsi:type="dcterms:W3CDTF">2016-07-26T08:38:00Z</dcterms:created>
  <dcterms:modified xsi:type="dcterms:W3CDTF">2016-07-26T08:41:00Z</dcterms:modified>
</cp:coreProperties>
</file>