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Monthly or yearly? Price framing and willingness to pay</w:t>
      </w:r>
    </w:p>
    <w:p>
      <w:r>
        <w:t xml:space="preserve">Draft v3. Kari Nordmann and [me]. Not for circulation.</w:t>
      </w:r>
    </w:p>
    <w:p>
      <w:pPr>
        <w:pStyle w:val="Heading2"/>
      </w:pPr>
      <w:r>
        <w:t xml:space="preserve">Method</w:t>
      </w:r>
    </w:p>
    <w:p>
      <w:r>
        <w:t xml:space="preserve">We ran an online survey experiment in March 2026. Respondents were randomly shown a subscription price either per month or per year and asked the most they would pay per year (NOK). We removed respondents who completed the survey in under 60 seconds.</w:t>
      </w:r>
    </w:p>
    <w:p>
      <w:pPr>
        <w:pStyle w:val="Heading2"/>
      </w:pPr>
      <w:r>
        <w:t xml:space="preserve">Results</w:t>
      </w:r>
    </w:p>
    <w:p>
      <w:r>
        <w:t xml:space="preserve">The final sample has N = 223 respondents. Respondents who saw the monthly price were willing to pay 53.2 NOK more per year than those who saw the yearly price (permutation test, p = 0.024). See Table 1.</w:t>
      </w:r>
    </w:p>
    <w:p>
      <w:pPr>
        <w:pStyle w:val="Heading2"/>
      </w:pPr>
      <w:r>
        <w:t xml:space="preserve">Discussion</w:t>
      </w:r>
    </w:p>
    <w:p>
      <w:r>
        <w:t xml:space="preserve">TODO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6"/>
    </w:rPr>
  </w:style>
  <w:style w:type="paragraph" w:styleId="Heading2">
    <w:name w:val="heading 2"/>
    <w:basedOn w:val="Normal"/>
    <w:pPr>
      <w:outlineLvl w:val="1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