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铝合金黑色断桥铝型材门窗制作及安装合同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甲方（发包方）：</w:t>
      </w:r>
    </w:p>
    <w:p>
      <w:pPr>
        <w:spacing w:after="0" w:line="30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-5080</wp:posOffset>
            </wp:positionV>
            <wp:extent cx="1866900" cy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乙方（承包方）：</w:t>
      </w:r>
    </w:p>
    <w:p>
      <w:pPr>
        <w:spacing w:after="0" w:line="30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-5080</wp:posOffset>
            </wp:positionV>
            <wp:extent cx="1866900" cy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经甲乙双方友好协商一致，制定本合同供双方共同执行。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 xml:space="preserve">第一条 甲方向乙方订做断桥铝型材门窗约为 </w:t>
      </w:r>
      <w:r>
        <w:rPr>
          <w:rFonts w:ascii="Calibri" w:cs="Calibri" w:eastAsia="Calibri" w:hAnsi="Calibri"/>
          <w:sz w:val="28"/>
          <w:szCs w:val="28"/>
          <w:color w:val="auto"/>
        </w:rPr>
        <w:t>100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 平方米。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第二条 型材门窗单价</w:t>
      </w:r>
      <w:r>
        <w:rPr>
          <w:rFonts w:ascii="Calibri" w:cs="Calibri" w:eastAsia="Calibri" w:hAnsi="Calibri"/>
          <w:sz w:val="28"/>
          <w:szCs w:val="28"/>
          <w:color w:val="auto"/>
        </w:rPr>
        <w:t>(</w:t>
      </w:r>
      <w:r>
        <w:rPr>
          <w:rFonts w:ascii="宋体" w:cs="宋体" w:eastAsia="宋体" w:hAnsi="宋体"/>
          <w:sz w:val="28"/>
          <w:szCs w:val="28"/>
          <w:color w:val="auto"/>
        </w:rPr>
        <w:t>此价不含发票</w:t>
      </w:r>
      <w:r>
        <w:rPr>
          <w:rFonts w:ascii="Calibri" w:cs="Calibri" w:eastAsia="Calibri" w:hAnsi="Calibri"/>
          <w:sz w:val="28"/>
          <w:szCs w:val="28"/>
          <w:color w:val="auto"/>
        </w:rPr>
        <w:t>)1.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断桥铝开窗采用加多利牌 </w:t>
      </w:r>
      <w:r>
        <w:rPr>
          <w:rFonts w:ascii="Calibri" w:cs="Calibri" w:eastAsia="Calibri" w:hAnsi="Calibri"/>
          <w:sz w:val="28"/>
          <w:szCs w:val="28"/>
          <w:color w:val="auto"/>
        </w:rPr>
        <w:t>108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 系列窗纱一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 xml:space="preserve">体，型材门窗单价：为 </w:t>
      </w:r>
      <w:r>
        <w:rPr>
          <w:rFonts w:ascii="Calibri" w:cs="Calibri" w:eastAsia="Calibri" w:hAnsi="Calibri"/>
          <w:sz w:val="26"/>
          <w:szCs w:val="26"/>
          <w:color w:val="auto"/>
        </w:rPr>
        <w:t>800</w:t>
      </w:r>
      <w:r>
        <w:rPr>
          <w:rFonts w:ascii="宋体" w:cs="宋体" w:eastAsia="宋体" w:hAnsi="宋体"/>
          <w:sz w:val="26"/>
          <w:szCs w:val="26"/>
          <w:color w:val="auto"/>
        </w:rPr>
        <w:t xml:space="preserve"> 元</w:t>
      </w:r>
      <w:r>
        <w:rPr>
          <w:rFonts w:ascii="Calibri" w:cs="Calibri" w:eastAsia="Calibri" w:hAnsi="Calibri"/>
          <w:sz w:val="26"/>
          <w:szCs w:val="26"/>
          <w:color w:val="auto"/>
        </w:rPr>
        <w:t>/</w:t>
      </w:r>
      <w:r>
        <w:rPr>
          <w:rFonts w:ascii="宋体" w:cs="宋体" w:eastAsia="宋体" w:hAnsi="宋体"/>
          <w:sz w:val="26"/>
          <w:szCs w:val="26"/>
          <w:color w:val="auto"/>
        </w:rPr>
        <w:t xml:space="preserve">㎡，配件为舰朗牌，玻璃为 </w:t>
      </w:r>
      <w:r>
        <w:rPr>
          <w:rFonts w:ascii="Calibri" w:cs="Calibri" w:eastAsia="Calibri" w:hAnsi="Calibri"/>
          <w:sz w:val="26"/>
          <w:szCs w:val="26"/>
          <w:color w:val="auto"/>
        </w:rPr>
        <w:t>5+12A+5</w:t>
      </w:r>
      <w:r>
        <w:rPr>
          <w:rFonts w:ascii="宋体" w:cs="宋体" w:eastAsia="宋体" w:hAnsi="宋体"/>
          <w:sz w:val="26"/>
          <w:szCs w:val="26"/>
          <w:color w:val="auto"/>
        </w:rPr>
        <w:t xml:space="preserve"> 双层钢化玻璃。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both"/>
        <w:ind w:right="120"/>
        <w:spacing w:after="0" w:line="435" w:lineRule="auto"/>
        <w:tabs>
          <w:tab w:leader="none" w:pos="312" w:val="left"/>
        </w:tabs>
        <w:numPr>
          <w:ilvl w:val="0"/>
          <w:numId w:val="1"/>
        </w:numPr>
        <w:rPr>
          <w:rFonts w:ascii="宋体" w:cs="宋体" w:eastAsia="宋体" w:hAnsi="宋体"/>
          <w:sz w:val="28"/>
          <w:szCs w:val="28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 xml:space="preserve">断桥铝移门采用凤铝牌 </w:t>
      </w:r>
      <w:r>
        <w:rPr>
          <w:rFonts w:ascii="Calibri" w:cs="Calibri" w:eastAsia="Calibri" w:hAnsi="Calibri"/>
          <w:sz w:val="28"/>
          <w:szCs w:val="28"/>
          <w:color w:val="auto"/>
        </w:rPr>
        <w:t>70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 系列推拉，单价为 </w:t>
      </w:r>
      <w:r>
        <w:rPr>
          <w:rFonts w:ascii="Calibri" w:cs="Calibri" w:eastAsia="Calibri" w:hAnsi="Calibri"/>
          <w:sz w:val="28"/>
          <w:szCs w:val="28"/>
          <w:color w:val="auto"/>
        </w:rPr>
        <w:t>800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 元</w:t>
      </w:r>
      <w:r>
        <w:rPr>
          <w:rFonts w:ascii="Calibri" w:cs="Calibri" w:eastAsia="Calibri" w:hAnsi="Calibri"/>
          <w:sz w:val="28"/>
          <w:szCs w:val="28"/>
          <w:color w:val="auto"/>
        </w:rPr>
        <w:t>/</w:t>
      </w:r>
      <w:r>
        <w:rPr>
          <w:rFonts w:ascii="宋体" w:cs="宋体" w:eastAsia="宋体" w:hAnsi="宋体"/>
          <w:sz w:val="28"/>
          <w:szCs w:val="28"/>
          <w:color w:val="auto"/>
        </w:rPr>
        <w:t>㎡，配件为舰朗牌，玻璃为 5+12A+5 双钢化玻璃。</w:t>
      </w:r>
    </w:p>
    <w:p>
      <w:pPr>
        <w:spacing w:after="0" w:line="39" w:lineRule="exact"/>
        <w:rPr>
          <w:rFonts w:ascii="宋体" w:cs="宋体" w:eastAsia="宋体" w:hAnsi="宋体"/>
          <w:sz w:val="28"/>
          <w:szCs w:val="28"/>
          <w:color w:val="auto"/>
        </w:rPr>
      </w:pPr>
    </w:p>
    <w:p>
      <w:pPr>
        <w:jc w:val="both"/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宋体" w:cs="宋体" w:eastAsia="宋体" w:hAnsi="宋体"/>
          <w:sz w:val="26"/>
          <w:szCs w:val="26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铝型材移窗采用 789 系列推拉，单价为 380 元/㎡，配件为舰朗牌，玻璃为 5+9A+5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双层钢化玻璃。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right="140"/>
        <w:spacing w:after="0" w:line="440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第三条 工程承包方式：本工程包括原材料，辅助材料，运输费，制作及安装由乙方承担，其它安装脚手架，水源、电源等一律由甲方承担。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right="140"/>
        <w:spacing w:after="0" w:line="440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第四条 在根据甲方要求下由乙方认真量好尺寸，精心施工，如果甲方有要更改门窗尺寸或其它型号等一切费用包括所有材料费，人工费等由甲方承担。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right="140"/>
        <w:spacing w:after="0" w:line="440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第五条 付款方式：签订合同后 3 天内甲方应支付给乙方壹万元订金，乙方安装好收尾一次性当时全部付清给乙方，若甲方的款项不及时，工期顺延。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right="140"/>
        <w:spacing w:after="0" w:line="440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本合同一式二份，甲乙双方各执一份，经双方签字后即生效，本合同工程完毕自动失效。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甲方签字：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乙方签字：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联系电话：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联系电话：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日期：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日期：</w:t>
      </w:r>
    </w:p>
    <w:sectPr>
      <w:pgSz w:w="11900" w:h="16838" w:orient="portrait"/>
      <w:cols w:equalWidth="0" w:num="1">
        <w:col w:w="10000"/>
      </w:cols>
      <w:pgMar w:left="1020" w:top="1214" w:right="8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00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4823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2021-01-04T15:18:51Z</dcterms:created>
  <dcterms:modified xsi:type="dcterms:W3CDTF">2021-01-04T15:18:51Z</dcterms:modified>
</cp:coreProperties>
</file>