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F8EA5" w14:textId="17785293" w:rsidR="007F52F3" w:rsidRPr="00543E1E" w:rsidRDefault="007F52F3" w:rsidP="00CD3839">
      <w:pPr>
        <w:pStyle w:val="Heading2"/>
        <w:numPr>
          <w:ilvl w:val="0"/>
          <w:numId w:val="0"/>
        </w:numPr>
        <w:ind w:left="578" w:hanging="578"/>
      </w:pPr>
      <w:bookmarkStart w:id="0" w:name="_Toc293842296"/>
      <w:bookmarkStart w:id="1" w:name="_Toc293842417"/>
      <w:bookmarkStart w:id="2" w:name="_Toc297810501"/>
      <w:bookmarkStart w:id="3" w:name="_Toc297810502"/>
      <w:r w:rsidRPr="00543E1E">
        <w:t>Runde 1 – EK oder FK, das ist hier die Frage</w:t>
      </w:r>
      <w:bookmarkEnd w:id="0"/>
      <w:bookmarkEnd w:id="1"/>
      <w:bookmarkEnd w:id="2"/>
      <w:r>
        <w:t xml:space="preserve"> </w:t>
      </w:r>
    </w:p>
    <w:p w14:paraId="38C00571" w14:textId="77777777" w:rsidR="007F52F3" w:rsidRPr="00543E1E" w:rsidRDefault="007F52F3" w:rsidP="007F52F3">
      <w:pPr>
        <w:rPr>
          <w:rFonts w:cs="Arial"/>
        </w:rPr>
      </w:pPr>
      <w:r w:rsidRPr="00543E1E">
        <w:rPr>
          <w:rFonts w:cs="Arial"/>
        </w:rPr>
        <w:t>Sie tragen nun die Verantwortung im Unternehmen. Als erstes sollten Sie sich einen Überblick über die Strukturen und die finanziellen Rahmenbedingungen schaffen. Nachdem dieses geschehen ist, müssen Sie schon die erste wichtige Entscheidung treffen.</w:t>
      </w:r>
    </w:p>
    <w:p w14:paraId="399D998E" w14:textId="77777777" w:rsidR="007F52F3" w:rsidRDefault="007F52F3" w:rsidP="007F52F3">
      <w:pPr>
        <w:rPr>
          <w:rFonts w:cs="Arial"/>
        </w:rPr>
      </w:pPr>
      <w:r w:rsidRPr="00543E1E">
        <w:rPr>
          <w:rFonts w:cs="Arial"/>
        </w:rPr>
        <w:t xml:space="preserve">Nach einer schweren Naturkatastrophe in einem fernen Land ist das Vertrauen seitens der Bevölkerung in die hiesigen Kraftwerke rapide gesunken. Es besteht die Überlegung, in die Sicherheit der Kraftwerke zu investieren. Hierfür müssten komplexe neue Computersysteme zur Notfallabschaltung angeschafft werden, um die </w:t>
      </w:r>
      <w:r w:rsidRPr="00543E1E">
        <w:rPr>
          <w:rFonts w:cs="Arial"/>
          <w:color w:val="000000" w:themeColor="text1"/>
        </w:rPr>
        <w:t>Systeme auf einen aktuellen Stand zu</w:t>
      </w:r>
      <w:r w:rsidRPr="00543E1E">
        <w:rPr>
          <w:rFonts w:cs="Arial"/>
        </w:rPr>
        <w:t xml:space="preserve"> bringen. Für die Modernisierung aller Kraftwerke dieser Art Ihres Unternehmens wird mit einem Investitionsvolumen von </w:t>
      </w:r>
      <w:r>
        <w:rPr>
          <w:rFonts w:cs="Arial"/>
        </w:rPr>
        <w:t>1</w:t>
      </w:r>
      <w:r w:rsidRPr="00543E1E">
        <w:rPr>
          <w:rFonts w:cs="Arial"/>
        </w:rPr>
        <w:t xml:space="preserve">50 Mio. Euro gerechnet. Dieses soll durch ein Sonderkredit der KFW finanziert werden. Die Darlehenskosten belaufen sich auf 2,5% p. </w:t>
      </w:r>
      <w:proofErr w:type="gramStart"/>
      <w:r w:rsidRPr="00543E1E">
        <w:rPr>
          <w:rFonts w:cs="Arial"/>
        </w:rPr>
        <w:t>a..</w:t>
      </w:r>
      <w:proofErr w:type="gramEnd"/>
    </w:p>
    <w:p w14:paraId="6E18A21E" w14:textId="77777777" w:rsidR="007F52F3" w:rsidRPr="00543E1E" w:rsidRDefault="007F52F3" w:rsidP="007F52F3">
      <w:pPr>
        <w:rPr>
          <w:rFonts w:cs="Arial"/>
        </w:rPr>
      </w:pPr>
    </w:p>
    <w:p w14:paraId="42104851" w14:textId="77777777" w:rsidR="007F52F3" w:rsidRPr="00543E1E" w:rsidRDefault="007F52F3" w:rsidP="007F52F3">
      <w:pPr>
        <w:rPr>
          <w:rFonts w:cs="Arial"/>
        </w:rPr>
      </w:pPr>
      <w:r w:rsidRPr="00543E1E">
        <w:rPr>
          <w:rFonts w:cs="Arial"/>
        </w:rPr>
        <w:t xml:space="preserve">Es ergeben sich somit </w:t>
      </w:r>
      <w:r w:rsidRPr="00543E1E">
        <w:rPr>
          <w:rFonts w:cs="Arial"/>
          <w:u w:val="single"/>
        </w:rPr>
        <w:t>zwei Entscheidungsmöglichkeiten</w:t>
      </w:r>
      <w:r w:rsidRPr="00543E1E">
        <w:rPr>
          <w:rFonts w:cs="Arial"/>
        </w:rPr>
        <w:t>:</w:t>
      </w:r>
    </w:p>
    <w:p w14:paraId="05B3292A" w14:textId="77777777" w:rsidR="007F52F3" w:rsidRPr="00543E1E" w:rsidRDefault="007F52F3" w:rsidP="007F52F3">
      <w:pPr>
        <w:rPr>
          <w:rFonts w:cs="Arial"/>
        </w:rPr>
      </w:pPr>
      <w:r w:rsidRPr="00543E1E">
        <w:rPr>
          <w:rFonts w:cs="Arial"/>
        </w:rPr>
        <w:t>a) Keine Investition</w:t>
      </w:r>
    </w:p>
    <w:p w14:paraId="453EECA6" w14:textId="77777777" w:rsidR="007F52F3" w:rsidRPr="00543E1E" w:rsidRDefault="007F52F3" w:rsidP="007F52F3">
      <w:pPr>
        <w:rPr>
          <w:rFonts w:cs="Arial"/>
        </w:rPr>
      </w:pPr>
      <w:r w:rsidRPr="00543E1E">
        <w:rPr>
          <w:rFonts w:cs="Arial"/>
        </w:rPr>
        <w:t>Vertrauen in Ihr Unternehmen sinkt</w:t>
      </w:r>
    </w:p>
    <w:p w14:paraId="1A098595" w14:textId="77777777" w:rsidR="007F52F3" w:rsidRPr="00543E1E" w:rsidRDefault="007F52F3" w:rsidP="007F52F3">
      <w:pPr>
        <w:rPr>
          <w:rFonts w:cs="Arial"/>
        </w:rPr>
      </w:pPr>
      <w:r w:rsidRPr="00543E1E">
        <w:rPr>
          <w:rFonts w:cs="Arial"/>
        </w:rPr>
        <w:t>Eventueller Verlust von Kunden, der aber nicht sicher und messbar ist</w:t>
      </w:r>
    </w:p>
    <w:p w14:paraId="7A566078" w14:textId="77777777" w:rsidR="007F52F3" w:rsidRPr="00543E1E" w:rsidRDefault="007F52F3" w:rsidP="007F52F3">
      <w:pPr>
        <w:rPr>
          <w:rFonts w:cs="Arial"/>
        </w:rPr>
      </w:pPr>
      <w:r w:rsidRPr="00543E1E">
        <w:rPr>
          <w:rFonts w:cs="Arial"/>
        </w:rPr>
        <w:t>Unfallrisiko steigt</w:t>
      </w:r>
    </w:p>
    <w:p w14:paraId="5EBFD666" w14:textId="77777777" w:rsidR="007F52F3" w:rsidRPr="00543E1E" w:rsidRDefault="007F52F3" w:rsidP="007F52F3">
      <w:pPr>
        <w:rPr>
          <w:rFonts w:cs="Arial"/>
        </w:rPr>
      </w:pPr>
    </w:p>
    <w:p w14:paraId="0090FC2C" w14:textId="77777777" w:rsidR="007F52F3" w:rsidRPr="00543E1E" w:rsidRDefault="007F52F3" w:rsidP="007F52F3">
      <w:pPr>
        <w:rPr>
          <w:rFonts w:cs="Arial"/>
        </w:rPr>
      </w:pPr>
      <w:r w:rsidRPr="00543E1E">
        <w:rPr>
          <w:rFonts w:cs="Arial"/>
        </w:rPr>
        <w:t>b) Alternative: Investition wird getätigt</w:t>
      </w:r>
    </w:p>
    <w:p w14:paraId="5526D3CA" w14:textId="77777777" w:rsidR="007F52F3" w:rsidRPr="00543E1E" w:rsidRDefault="007F52F3" w:rsidP="007F52F3">
      <w:pPr>
        <w:rPr>
          <w:rFonts w:cs="Arial"/>
        </w:rPr>
      </w:pPr>
      <w:r w:rsidRPr="00543E1E">
        <w:rPr>
          <w:rFonts w:cs="Arial"/>
        </w:rPr>
        <w:t>Aufwendungen steigen</w:t>
      </w:r>
    </w:p>
    <w:p w14:paraId="4D97C1E0" w14:textId="77777777" w:rsidR="007F52F3" w:rsidRPr="00543E1E" w:rsidRDefault="007F52F3" w:rsidP="007F52F3">
      <w:pPr>
        <w:rPr>
          <w:rFonts w:cs="Arial"/>
        </w:rPr>
      </w:pPr>
      <w:r w:rsidRPr="00543E1E">
        <w:rPr>
          <w:rFonts w:cs="Arial"/>
        </w:rPr>
        <w:t>Fremdkapital wird erhöht</w:t>
      </w:r>
    </w:p>
    <w:p w14:paraId="51F59D58" w14:textId="77777777" w:rsidR="007F52F3" w:rsidRPr="00543E1E" w:rsidRDefault="007F52F3" w:rsidP="007F52F3">
      <w:pPr>
        <w:rPr>
          <w:rFonts w:cs="Arial"/>
        </w:rPr>
      </w:pPr>
      <w:r w:rsidRPr="00543E1E">
        <w:rPr>
          <w:rFonts w:cs="Arial"/>
        </w:rPr>
        <w:t>Eventuell Verbesserung des Images</w:t>
      </w:r>
    </w:p>
    <w:p w14:paraId="56A2132E" w14:textId="77777777" w:rsidR="007F52F3" w:rsidRDefault="007F52F3" w:rsidP="007F52F3">
      <w:pPr>
        <w:widowControl/>
        <w:autoSpaceDE/>
        <w:autoSpaceDN/>
        <w:adjustRightInd/>
        <w:spacing w:after="0" w:line="240" w:lineRule="auto"/>
        <w:jc w:val="left"/>
      </w:pPr>
      <w:r>
        <w:br w:type="page"/>
      </w:r>
    </w:p>
    <w:p w14:paraId="5ABB278A" w14:textId="58E8B12C" w:rsidR="007F52F3" w:rsidRDefault="007F52F3" w:rsidP="007F52F3">
      <w:r>
        <w:lastRenderedPageBreak/>
        <w:t xml:space="preserve">Über diese Entscheidung hinaus müssen Sie weiterhin noch entscheiden, ob Sie den Aufbau eines Forderungsmanagements anstreben. Wenn Sie die tun kostet Sie das einmalig Einführungskosten von T€ 500, darüber hinaus entstehen dem </w:t>
      </w:r>
      <w:proofErr w:type="gramStart"/>
      <w:r>
        <w:t>Unternehmen</w:t>
      </w:r>
      <w:proofErr w:type="gramEnd"/>
      <w:r>
        <w:t xml:space="preserve"> um das Forderungsmanagement aktuell zu halten, laufend pro Periode T€50. Es wird erwartet, dass sie gegenüber Mitbewerbern, die nicht über ein vergleichbares Forderungsmanagement verfügen, bis zu 5% mehr der jeweils offenen Forderungen eintreiben können. Diese Entscheidung pro oder contra Einführung eines Forderungsmanagements treffen Sie einmalig, d.h. diese ist in der gegenwärtigen Periode zu treffen und wird bis zum Ablauf der fünften Periode nicht mehr zu ändern sein.</w:t>
      </w:r>
    </w:p>
    <w:p w14:paraId="5FB0EA9A" w14:textId="71E1CF3B" w:rsidR="0049441C" w:rsidRDefault="0049441C" w:rsidP="0049441C">
      <w:pPr>
        <w:pStyle w:val="Heading3"/>
        <w:numPr>
          <w:ilvl w:val="0"/>
          <w:numId w:val="0"/>
        </w:numPr>
        <w:ind w:left="720" w:hanging="720"/>
      </w:pPr>
      <w:r w:rsidRPr="00CB0465">
        <w:t>Antwortblatt Spieler - Runde 1</w:t>
      </w:r>
      <w:bookmarkEnd w:id="3"/>
    </w:p>
    <w:p w14:paraId="7ED7FA00" w14:textId="12ADC394" w:rsidR="007F52F3" w:rsidRPr="007F52F3" w:rsidRDefault="007F52F3" w:rsidP="007F52F3">
      <w:pPr>
        <w:rPr>
          <w:b/>
          <w:bCs/>
          <w:color w:val="FF0000"/>
          <w:u w:val="single"/>
        </w:rPr>
      </w:pPr>
      <w:r w:rsidRPr="007F52F3">
        <w:rPr>
          <w:b/>
          <w:bCs/>
          <w:color w:val="FF0000"/>
          <w:u w:val="single"/>
        </w:rPr>
        <w:t>Unternehmen:</w:t>
      </w:r>
      <w:r>
        <w:rPr>
          <w:b/>
          <w:bCs/>
          <w:color w:val="FF0000"/>
          <w:u w:val="single"/>
        </w:rPr>
        <w:t xml:space="preserve"> </w:t>
      </w:r>
    </w:p>
    <w:p w14:paraId="2125036B" w14:textId="77777777" w:rsidR="0049441C" w:rsidRPr="00543E1E" w:rsidRDefault="0049441C" w:rsidP="0049441C">
      <w:pPr>
        <w:rPr>
          <w:rFonts w:cs="Arial"/>
        </w:rPr>
      </w:pPr>
      <w:r>
        <w:rPr>
          <w:rFonts w:cs="Arial"/>
        </w:rPr>
        <w:t>Es gibt verschiedene Auswahlmöglichkeiten. Bitte kreuzen Sie Ihre Finanzierungsentscheidung an.</w:t>
      </w:r>
    </w:p>
    <w:tbl>
      <w:tblPr>
        <w:tblStyle w:val="TableGrid"/>
        <w:tblW w:w="0" w:type="auto"/>
        <w:tblLook w:val="04A0" w:firstRow="1" w:lastRow="0" w:firstColumn="1" w:lastColumn="0" w:noHBand="0" w:noVBand="1"/>
      </w:tblPr>
      <w:tblGrid>
        <w:gridCol w:w="1651"/>
        <w:gridCol w:w="2710"/>
        <w:gridCol w:w="3383"/>
        <w:gridCol w:w="1272"/>
      </w:tblGrid>
      <w:tr w:rsidR="0049441C" w14:paraId="48EC0793" w14:textId="77777777" w:rsidTr="00426A28">
        <w:tc>
          <w:tcPr>
            <w:tcW w:w="1667" w:type="dxa"/>
          </w:tcPr>
          <w:p w14:paraId="2400E1CF" w14:textId="77777777" w:rsidR="0049441C" w:rsidRDefault="0049441C" w:rsidP="00426A28">
            <w:pPr>
              <w:jc w:val="center"/>
              <w:rPr>
                <w:rFonts w:cs="Arial"/>
              </w:rPr>
            </w:pPr>
            <w:r>
              <w:rPr>
                <w:rFonts w:cs="Arial"/>
              </w:rPr>
              <w:t>Investition tätigen</w:t>
            </w:r>
          </w:p>
        </w:tc>
        <w:tc>
          <w:tcPr>
            <w:tcW w:w="2728" w:type="dxa"/>
          </w:tcPr>
          <w:p w14:paraId="50E3960B" w14:textId="77777777" w:rsidR="0049441C" w:rsidRDefault="0049441C" w:rsidP="00426A28">
            <w:pPr>
              <w:jc w:val="center"/>
              <w:rPr>
                <w:rFonts w:cs="Arial"/>
              </w:rPr>
            </w:pPr>
            <w:r>
              <w:rPr>
                <w:rFonts w:cs="Arial"/>
              </w:rPr>
              <w:t>Ja</w:t>
            </w:r>
          </w:p>
        </w:tc>
        <w:tc>
          <w:tcPr>
            <w:tcW w:w="3510" w:type="dxa"/>
          </w:tcPr>
          <w:p w14:paraId="460007A7" w14:textId="77777777" w:rsidR="0049441C" w:rsidRDefault="0049441C" w:rsidP="00426A28">
            <w:pPr>
              <w:jc w:val="center"/>
              <w:rPr>
                <w:rFonts w:cs="Arial"/>
              </w:rPr>
            </w:pPr>
          </w:p>
        </w:tc>
        <w:tc>
          <w:tcPr>
            <w:tcW w:w="1383" w:type="dxa"/>
          </w:tcPr>
          <w:p w14:paraId="0A325B7A" w14:textId="77777777" w:rsidR="0049441C" w:rsidRDefault="0049441C" w:rsidP="00426A28">
            <w:pPr>
              <w:jc w:val="center"/>
              <w:rPr>
                <w:rFonts w:cs="Arial"/>
              </w:rPr>
            </w:pPr>
            <w:r>
              <w:rPr>
                <w:rFonts w:cs="Arial"/>
              </w:rPr>
              <w:t>Nein</w:t>
            </w:r>
          </w:p>
        </w:tc>
      </w:tr>
      <w:tr w:rsidR="0049441C" w14:paraId="22FFF873" w14:textId="77777777" w:rsidTr="00426A28">
        <w:tc>
          <w:tcPr>
            <w:tcW w:w="1667" w:type="dxa"/>
          </w:tcPr>
          <w:p w14:paraId="21EB6B58" w14:textId="77777777" w:rsidR="0049441C" w:rsidRDefault="0049441C" w:rsidP="00426A28">
            <w:pPr>
              <w:jc w:val="center"/>
              <w:rPr>
                <w:rFonts w:cs="Arial"/>
              </w:rPr>
            </w:pPr>
            <w:r>
              <w:rPr>
                <w:rFonts w:cs="Arial"/>
              </w:rPr>
              <w:t>Möglichkeiten</w:t>
            </w:r>
          </w:p>
        </w:tc>
        <w:tc>
          <w:tcPr>
            <w:tcW w:w="2728" w:type="dxa"/>
          </w:tcPr>
          <w:p w14:paraId="5F81D9BF" w14:textId="77777777" w:rsidR="0049441C" w:rsidRDefault="0049441C" w:rsidP="00426A28">
            <w:pPr>
              <w:jc w:val="center"/>
              <w:rPr>
                <w:rFonts w:cs="Arial"/>
              </w:rPr>
            </w:pPr>
            <w:r>
              <w:rPr>
                <w:rFonts w:cs="Arial"/>
              </w:rPr>
              <w:t>Eigenkapitalfinanzierung</w:t>
            </w:r>
          </w:p>
          <w:p w14:paraId="138B58DE" w14:textId="77777777" w:rsidR="0049441C" w:rsidRDefault="0049441C" w:rsidP="00426A28">
            <w:pPr>
              <w:jc w:val="center"/>
              <w:rPr>
                <w:rFonts w:cs="Arial"/>
              </w:rPr>
            </w:pPr>
            <w:r>
              <w:rPr>
                <w:rFonts w:cs="Arial"/>
              </w:rPr>
              <w:t>(komplett Eigenmittel)</w:t>
            </w:r>
          </w:p>
        </w:tc>
        <w:tc>
          <w:tcPr>
            <w:tcW w:w="3510" w:type="dxa"/>
          </w:tcPr>
          <w:p w14:paraId="63DD0660" w14:textId="77777777" w:rsidR="0049441C" w:rsidRDefault="0049441C" w:rsidP="00426A28">
            <w:pPr>
              <w:jc w:val="center"/>
              <w:rPr>
                <w:rFonts w:cs="Arial"/>
              </w:rPr>
            </w:pPr>
            <w:r>
              <w:rPr>
                <w:rFonts w:cs="Arial"/>
              </w:rPr>
              <w:t>Fremdkapitalfinanzierung</w:t>
            </w:r>
          </w:p>
          <w:p w14:paraId="314A86E3" w14:textId="77777777" w:rsidR="0049441C" w:rsidRDefault="0049441C" w:rsidP="00426A28">
            <w:pPr>
              <w:jc w:val="center"/>
              <w:rPr>
                <w:rFonts w:cs="Arial"/>
              </w:rPr>
            </w:pPr>
            <w:r>
              <w:rPr>
                <w:rFonts w:cs="Arial"/>
              </w:rPr>
              <w:t>(2,5  % Sonderzins)</w:t>
            </w:r>
          </w:p>
        </w:tc>
        <w:tc>
          <w:tcPr>
            <w:tcW w:w="1383" w:type="dxa"/>
          </w:tcPr>
          <w:p w14:paraId="13258F87" w14:textId="77777777" w:rsidR="0049441C" w:rsidRDefault="0049441C" w:rsidP="00426A28">
            <w:pPr>
              <w:jc w:val="center"/>
              <w:rPr>
                <w:rFonts w:cs="Arial"/>
              </w:rPr>
            </w:pPr>
            <w:r>
              <w:rPr>
                <w:rFonts w:cs="Arial"/>
              </w:rPr>
              <w:t>-</w:t>
            </w:r>
          </w:p>
        </w:tc>
      </w:tr>
      <w:tr w:rsidR="0049441C" w14:paraId="457F6294" w14:textId="77777777" w:rsidTr="00426A28">
        <w:tc>
          <w:tcPr>
            <w:tcW w:w="1667" w:type="dxa"/>
          </w:tcPr>
          <w:p w14:paraId="50EB156A" w14:textId="77777777" w:rsidR="0049441C" w:rsidRDefault="0049441C" w:rsidP="00426A28">
            <w:pPr>
              <w:jc w:val="center"/>
              <w:rPr>
                <w:rFonts w:cs="Arial"/>
              </w:rPr>
            </w:pPr>
            <w:r>
              <w:rPr>
                <w:rFonts w:cs="Arial"/>
              </w:rPr>
              <w:t>Entscheidung</w:t>
            </w:r>
          </w:p>
        </w:tc>
        <w:tc>
          <w:tcPr>
            <w:tcW w:w="2728" w:type="dxa"/>
          </w:tcPr>
          <w:p w14:paraId="65A161D7" w14:textId="77777777" w:rsidR="0049441C" w:rsidRDefault="0049441C" w:rsidP="00426A28">
            <w:pPr>
              <w:jc w:val="center"/>
              <w:rPr>
                <w:rFonts w:cs="Arial"/>
              </w:rPr>
            </w:pPr>
          </w:p>
        </w:tc>
        <w:tc>
          <w:tcPr>
            <w:tcW w:w="3510" w:type="dxa"/>
          </w:tcPr>
          <w:p w14:paraId="7B33693E" w14:textId="77777777" w:rsidR="0049441C" w:rsidRDefault="0049441C" w:rsidP="00426A28">
            <w:pPr>
              <w:jc w:val="center"/>
              <w:rPr>
                <w:rFonts w:cs="Arial"/>
              </w:rPr>
            </w:pPr>
          </w:p>
        </w:tc>
        <w:tc>
          <w:tcPr>
            <w:tcW w:w="1383" w:type="dxa"/>
          </w:tcPr>
          <w:p w14:paraId="7E595E30" w14:textId="77777777" w:rsidR="0049441C" w:rsidRDefault="0049441C" w:rsidP="00426A28">
            <w:pPr>
              <w:jc w:val="center"/>
              <w:rPr>
                <w:rFonts w:cs="Arial"/>
              </w:rPr>
            </w:pPr>
          </w:p>
        </w:tc>
      </w:tr>
    </w:tbl>
    <w:p w14:paraId="42F5AD72" w14:textId="77777777" w:rsidR="0049441C" w:rsidRDefault="0049441C" w:rsidP="0049441C">
      <w:pPr>
        <w:widowControl/>
        <w:autoSpaceDE/>
        <w:autoSpaceDN/>
        <w:adjustRightInd/>
        <w:spacing w:after="0" w:line="240" w:lineRule="auto"/>
        <w:jc w:val="left"/>
        <w:rPr>
          <w:rFonts w:cs="Arial"/>
        </w:rPr>
      </w:pPr>
    </w:p>
    <w:p w14:paraId="660BB48C" w14:textId="77777777" w:rsidR="0049441C" w:rsidRDefault="0049441C" w:rsidP="0049441C">
      <w:pPr>
        <w:widowControl/>
        <w:autoSpaceDE/>
        <w:autoSpaceDN/>
        <w:adjustRightInd/>
        <w:spacing w:after="0" w:line="240" w:lineRule="auto"/>
        <w:jc w:val="left"/>
        <w:rPr>
          <w:rFonts w:cs="Arial"/>
        </w:rPr>
      </w:pPr>
    </w:p>
    <w:p w14:paraId="6A1A394C" w14:textId="77777777" w:rsidR="0049441C" w:rsidRDefault="0049441C" w:rsidP="0049441C">
      <w:pPr>
        <w:widowControl/>
        <w:autoSpaceDE/>
        <w:autoSpaceDN/>
        <w:adjustRightInd/>
        <w:spacing w:after="0"/>
        <w:jc w:val="left"/>
        <w:rPr>
          <w:rFonts w:cs="Arial"/>
        </w:rPr>
      </w:pPr>
      <w:r>
        <w:rPr>
          <w:rFonts w:cs="Arial"/>
        </w:rPr>
        <w:t xml:space="preserve">Bitte geben Sie an, ob Sie die Möglichkeit des Forderungsmanagements in Anspruch nehmen möchten oder nicht. Diese Entscheidung wirkt sich über die nächsten fünf Perioden aus, und kann nicht mehr rückgängig gemacht werden. </w:t>
      </w:r>
    </w:p>
    <w:p w14:paraId="0B14FBAB" w14:textId="77777777" w:rsidR="0049441C" w:rsidRDefault="0049441C" w:rsidP="0049441C">
      <w:pPr>
        <w:widowControl/>
        <w:autoSpaceDE/>
        <w:autoSpaceDN/>
        <w:adjustRightInd/>
        <w:spacing w:after="0"/>
        <w:jc w:val="left"/>
        <w:rPr>
          <w:rFonts w:cs="Arial"/>
        </w:rPr>
      </w:pPr>
    </w:p>
    <w:tbl>
      <w:tblPr>
        <w:tblStyle w:val="TableGrid"/>
        <w:tblW w:w="5000" w:type="pct"/>
        <w:tblLook w:val="04A0" w:firstRow="1" w:lastRow="0" w:firstColumn="1" w:lastColumn="0" w:noHBand="0" w:noVBand="1"/>
      </w:tblPr>
      <w:tblGrid>
        <w:gridCol w:w="2626"/>
        <w:gridCol w:w="4245"/>
        <w:gridCol w:w="2145"/>
      </w:tblGrid>
      <w:tr w:rsidR="0049441C" w14:paraId="1921FDF9" w14:textId="77777777" w:rsidTr="00426A28">
        <w:trPr>
          <w:trHeight w:val="20"/>
        </w:trPr>
        <w:tc>
          <w:tcPr>
            <w:tcW w:w="1443" w:type="pct"/>
          </w:tcPr>
          <w:p w14:paraId="3F07878B" w14:textId="77777777" w:rsidR="0049441C" w:rsidRDefault="0049441C" w:rsidP="00426A28">
            <w:pPr>
              <w:jc w:val="center"/>
              <w:rPr>
                <w:rFonts w:cs="Arial"/>
              </w:rPr>
            </w:pPr>
            <w:r>
              <w:rPr>
                <w:rFonts w:cs="Arial"/>
              </w:rPr>
              <w:t>Forderungsmanagement einführen</w:t>
            </w:r>
          </w:p>
        </w:tc>
        <w:tc>
          <w:tcPr>
            <w:tcW w:w="2361" w:type="pct"/>
          </w:tcPr>
          <w:p w14:paraId="1EE7B0B9" w14:textId="77777777" w:rsidR="0049441C" w:rsidRDefault="0049441C" w:rsidP="00426A28">
            <w:pPr>
              <w:jc w:val="center"/>
              <w:rPr>
                <w:rFonts w:cs="Arial"/>
              </w:rPr>
            </w:pPr>
            <w:r>
              <w:rPr>
                <w:rFonts w:cs="Arial"/>
              </w:rPr>
              <w:t>Ja</w:t>
            </w:r>
          </w:p>
        </w:tc>
        <w:tc>
          <w:tcPr>
            <w:tcW w:w="1197" w:type="pct"/>
          </w:tcPr>
          <w:p w14:paraId="397358CA" w14:textId="77777777" w:rsidR="0049441C" w:rsidRDefault="0049441C" w:rsidP="00426A28">
            <w:pPr>
              <w:jc w:val="center"/>
              <w:rPr>
                <w:rFonts w:cs="Arial"/>
              </w:rPr>
            </w:pPr>
            <w:r>
              <w:rPr>
                <w:rFonts w:cs="Arial"/>
              </w:rPr>
              <w:t>Nein</w:t>
            </w:r>
          </w:p>
        </w:tc>
      </w:tr>
      <w:tr w:rsidR="0049441C" w14:paraId="7E65AFE1" w14:textId="77777777" w:rsidTr="00426A28">
        <w:trPr>
          <w:trHeight w:val="567"/>
        </w:trPr>
        <w:tc>
          <w:tcPr>
            <w:tcW w:w="1443" w:type="pct"/>
          </w:tcPr>
          <w:p w14:paraId="481902F6" w14:textId="77777777" w:rsidR="0049441C" w:rsidRDefault="0049441C" w:rsidP="00426A28">
            <w:pPr>
              <w:jc w:val="center"/>
              <w:rPr>
                <w:rFonts w:cs="Arial"/>
              </w:rPr>
            </w:pPr>
            <w:r>
              <w:rPr>
                <w:rFonts w:cs="Arial"/>
              </w:rPr>
              <w:t>Entscheidung</w:t>
            </w:r>
          </w:p>
        </w:tc>
        <w:tc>
          <w:tcPr>
            <w:tcW w:w="2361" w:type="pct"/>
          </w:tcPr>
          <w:p w14:paraId="0293787A" w14:textId="77777777" w:rsidR="0049441C" w:rsidRDefault="0049441C" w:rsidP="00426A28">
            <w:pPr>
              <w:jc w:val="center"/>
              <w:rPr>
                <w:rFonts w:cs="Arial"/>
              </w:rPr>
            </w:pPr>
          </w:p>
        </w:tc>
        <w:tc>
          <w:tcPr>
            <w:tcW w:w="1197" w:type="pct"/>
          </w:tcPr>
          <w:p w14:paraId="6E81A361" w14:textId="77777777" w:rsidR="0049441C" w:rsidRDefault="0049441C" w:rsidP="00426A28">
            <w:pPr>
              <w:jc w:val="center"/>
              <w:rPr>
                <w:rFonts w:cs="Arial"/>
              </w:rPr>
            </w:pPr>
          </w:p>
        </w:tc>
      </w:tr>
    </w:tbl>
    <w:p w14:paraId="1E195462" w14:textId="77777777" w:rsidR="0049441C" w:rsidRPr="0049441C" w:rsidRDefault="0049441C" w:rsidP="0049441C">
      <w:pPr>
        <w:widowControl/>
        <w:autoSpaceDE/>
        <w:autoSpaceDN/>
        <w:adjustRightInd/>
        <w:spacing w:after="0" w:line="240" w:lineRule="auto"/>
        <w:jc w:val="left"/>
        <w:rPr>
          <w:rFonts w:cs="Arial"/>
        </w:rPr>
      </w:pPr>
    </w:p>
    <w:sectPr w:rsidR="0049441C" w:rsidRPr="00494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21110D"/>
    <w:multiLevelType w:val="singleLevel"/>
    <w:tmpl w:val="866EA3A8"/>
    <w:lvl w:ilvl="0">
      <w:start w:val="1"/>
      <w:numFmt w:val="decimal"/>
      <w:lvlText w:val="%1."/>
      <w:legacy w:legacy="1" w:legacySpace="120" w:legacyIndent="360"/>
      <w:lvlJc w:val="left"/>
      <w:pPr>
        <w:ind w:left="644" w:hanging="360"/>
      </w:pPr>
      <w:rPr>
        <w:rFonts w:ascii="Times New Roman" w:hAnsi="Times New Roman" w:cs="Times New Roman" w:hint="default"/>
      </w:rPr>
    </w:lvl>
  </w:abstractNum>
  <w:abstractNum w:abstractNumId="1" w15:restartNumberingAfterBreak="0">
    <w:nsid w:val="782A3EDF"/>
    <w:multiLevelType w:val="multilevel"/>
    <w:tmpl w:val="E1E6D9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1C"/>
    <w:rsid w:val="0049441C"/>
    <w:rsid w:val="007F52F3"/>
    <w:rsid w:val="00CD383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97E4F32"/>
  <w15:chartTrackingRefBased/>
  <w15:docId w15:val="{7F9E32A8-2A6D-4149-8A02-E44CE8B7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41C"/>
    <w:pPr>
      <w:widowControl w:val="0"/>
      <w:autoSpaceDE w:val="0"/>
      <w:autoSpaceDN w:val="0"/>
      <w:adjustRightInd w:val="0"/>
      <w:spacing w:after="200" w:line="360" w:lineRule="auto"/>
      <w:jc w:val="both"/>
    </w:pPr>
    <w:rPr>
      <w:rFonts w:ascii="Arial" w:eastAsia="Times New Roman" w:hAnsi="Arial" w:cs="Calibri"/>
      <w:szCs w:val="22"/>
      <w:lang w:val="de-DE" w:eastAsia="de-DE"/>
    </w:rPr>
  </w:style>
  <w:style w:type="paragraph" w:styleId="Heading1">
    <w:name w:val="heading 1"/>
    <w:basedOn w:val="Normal"/>
    <w:next w:val="Normal"/>
    <w:link w:val="Heading1Char"/>
    <w:qFormat/>
    <w:rsid w:val="0049441C"/>
    <w:pPr>
      <w:keepNext/>
      <w:keepLines/>
      <w:numPr>
        <w:numId w:val="1"/>
      </w:numPr>
      <w:spacing w:before="240" w:after="240"/>
      <w:jc w:val="left"/>
      <w:outlineLvl w:val="0"/>
    </w:pPr>
    <w:rPr>
      <w:rFonts w:cs="Arial"/>
      <w:b/>
      <w:bCs/>
      <w:sz w:val="28"/>
      <w:szCs w:val="24"/>
    </w:rPr>
  </w:style>
  <w:style w:type="paragraph" w:styleId="Heading2">
    <w:name w:val="heading 2"/>
    <w:basedOn w:val="Normal"/>
    <w:next w:val="Normal"/>
    <w:link w:val="Heading2Char"/>
    <w:autoRedefine/>
    <w:qFormat/>
    <w:rsid w:val="0049441C"/>
    <w:pPr>
      <w:keepNext/>
      <w:widowControl/>
      <w:numPr>
        <w:ilvl w:val="1"/>
        <w:numId w:val="1"/>
      </w:numPr>
      <w:tabs>
        <w:tab w:val="num" w:pos="576"/>
      </w:tabs>
      <w:autoSpaceDE/>
      <w:autoSpaceDN/>
      <w:adjustRightInd/>
      <w:spacing w:before="120" w:after="120"/>
      <w:ind w:left="578" w:hanging="578"/>
      <w:outlineLvl w:val="1"/>
    </w:pPr>
    <w:rPr>
      <w:rFonts w:cs="Arial"/>
      <w:b/>
      <w:bCs/>
      <w:sz w:val="26"/>
      <w:szCs w:val="26"/>
    </w:rPr>
  </w:style>
  <w:style w:type="paragraph" w:styleId="Heading3">
    <w:name w:val="heading 3"/>
    <w:basedOn w:val="Normal"/>
    <w:next w:val="Normal"/>
    <w:link w:val="Heading3Char"/>
    <w:autoRedefine/>
    <w:qFormat/>
    <w:rsid w:val="0049441C"/>
    <w:pPr>
      <w:keepNext/>
      <w:keepLines/>
      <w:numPr>
        <w:ilvl w:val="2"/>
        <w:numId w:val="1"/>
      </w:numPr>
      <w:spacing w:before="360" w:after="120"/>
      <w:jc w:val="left"/>
      <w:outlineLvl w:val="2"/>
    </w:pPr>
    <w:rPr>
      <w:rFonts w:cs="Cambria"/>
      <w:b/>
      <w:bCs/>
    </w:rPr>
  </w:style>
  <w:style w:type="paragraph" w:styleId="Heading4">
    <w:name w:val="heading 4"/>
    <w:basedOn w:val="Normal"/>
    <w:next w:val="Normal"/>
    <w:link w:val="Heading4Char"/>
    <w:semiHidden/>
    <w:unhideWhenUsed/>
    <w:qFormat/>
    <w:rsid w:val="0049441C"/>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nhideWhenUsed/>
    <w:qFormat/>
    <w:rsid w:val="0049441C"/>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49441C"/>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4944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944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944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41C"/>
    <w:rPr>
      <w:rFonts w:ascii="Arial" w:eastAsia="Times New Roman" w:hAnsi="Arial" w:cs="Arial"/>
      <w:b/>
      <w:bCs/>
      <w:sz w:val="28"/>
      <w:lang w:val="de-DE" w:eastAsia="de-DE"/>
    </w:rPr>
  </w:style>
  <w:style w:type="character" w:customStyle="1" w:styleId="Heading2Char">
    <w:name w:val="Heading 2 Char"/>
    <w:basedOn w:val="DefaultParagraphFont"/>
    <w:link w:val="Heading2"/>
    <w:rsid w:val="0049441C"/>
    <w:rPr>
      <w:rFonts w:ascii="Arial" w:eastAsia="Times New Roman" w:hAnsi="Arial" w:cs="Arial"/>
      <w:b/>
      <w:bCs/>
      <w:sz w:val="26"/>
      <w:szCs w:val="26"/>
      <w:lang w:val="de-DE" w:eastAsia="de-DE"/>
    </w:rPr>
  </w:style>
  <w:style w:type="character" w:customStyle="1" w:styleId="Heading3Char">
    <w:name w:val="Heading 3 Char"/>
    <w:basedOn w:val="DefaultParagraphFont"/>
    <w:link w:val="Heading3"/>
    <w:rsid w:val="0049441C"/>
    <w:rPr>
      <w:rFonts w:ascii="Arial" w:eastAsia="Times New Roman" w:hAnsi="Arial" w:cs="Cambria"/>
      <w:b/>
      <w:bCs/>
      <w:szCs w:val="22"/>
      <w:lang w:val="de-DE" w:eastAsia="de-DE"/>
    </w:rPr>
  </w:style>
  <w:style w:type="character" w:customStyle="1" w:styleId="Heading4Char">
    <w:name w:val="Heading 4 Char"/>
    <w:basedOn w:val="DefaultParagraphFont"/>
    <w:link w:val="Heading4"/>
    <w:semiHidden/>
    <w:rsid w:val="0049441C"/>
    <w:rPr>
      <w:rFonts w:asciiTheme="majorHAnsi" w:eastAsiaTheme="majorEastAsia" w:hAnsiTheme="majorHAnsi" w:cstheme="majorBidi"/>
      <w:b/>
      <w:bCs/>
      <w:i/>
      <w:iCs/>
      <w:color w:val="4472C4" w:themeColor="accent1"/>
      <w:szCs w:val="22"/>
      <w:lang w:val="de-DE" w:eastAsia="de-DE"/>
    </w:rPr>
  </w:style>
  <w:style w:type="character" w:customStyle="1" w:styleId="Heading5Char">
    <w:name w:val="Heading 5 Char"/>
    <w:basedOn w:val="DefaultParagraphFont"/>
    <w:link w:val="Heading5"/>
    <w:rsid w:val="0049441C"/>
    <w:rPr>
      <w:rFonts w:asciiTheme="majorHAnsi" w:eastAsiaTheme="majorEastAsia" w:hAnsiTheme="majorHAnsi" w:cstheme="majorBidi"/>
      <w:color w:val="1F3763" w:themeColor="accent1" w:themeShade="7F"/>
      <w:szCs w:val="22"/>
      <w:lang w:val="de-DE" w:eastAsia="de-DE"/>
    </w:rPr>
  </w:style>
  <w:style w:type="character" w:customStyle="1" w:styleId="Heading6Char">
    <w:name w:val="Heading 6 Char"/>
    <w:basedOn w:val="DefaultParagraphFont"/>
    <w:link w:val="Heading6"/>
    <w:semiHidden/>
    <w:rsid w:val="0049441C"/>
    <w:rPr>
      <w:rFonts w:asciiTheme="majorHAnsi" w:eastAsiaTheme="majorEastAsia" w:hAnsiTheme="majorHAnsi" w:cstheme="majorBidi"/>
      <w:i/>
      <w:iCs/>
      <w:color w:val="1F3763" w:themeColor="accent1" w:themeShade="7F"/>
      <w:szCs w:val="22"/>
      <w:lang w:val="de-DE" w:eastAsia="de-DE"/>
    </w:rPr>
  </w:style>
  <w:style w:type="character" w:customStyle="1" w:styleId="Heading7Char">
    <w:name w:val="Heading 7 Char"/>
    <w:basedOn w:val="DefaultParagraphFont"/>
    <w:link w:val="Heading7"/>
    <w:semiHidden/>
    <w:rsid w:val="0049441C"/>
    <w:rPr>
      <w:rFonts w:asciiTheme="majorHAnsi" w:eastAsiaTheme="majorEastAsia" w:hAnsiTheme="majorHAnsi" w:cstheme="majorBidi"/>
      <w:i/>
      <w:iCs/>
      <w:color w:val="404040" w:themeColor="text1" w:themeTint="BF"/>
      <w:szCs w:val="22"/>
      <w:lang w:val="de-DE" w:eastAsia="de-DE"/>
    </w:rPr>
  </w:style>
  <w:style w:type="character" w:customStyle="1" w:styleId="Heading8Char">
    <w:name w:val="Heading 8 Char"/>
    <w:basedOn w:val="DefaultParagraphFont"/>
    <w:link w:val="Heading8"/>
    <w:semiHidden/>
    <w:rsid w:val="0049441C"/>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basedOn w:val="DefaultParagraphFont"/>
    <w:link w:val="Heading9"/>
    <w:semiHidden/>
    <w:rsid w:val="0049441C"/>
    <w:rPr>
      <w:rFonts w:asciiTheme="majorHAnsi" w:eastAsiaTheme="majorEastAsia" w:hAnsiTheme="majorHAnsi" w:cstheme="majorBidi"/>
      <w:i/>
      <w:iCs/>
      <w:color w:val="404040" w:themeColor="text1" w:themeTint="BF"/>
      <w:sz w:val="20"/>
      <w:szCs w:val="20"/>
      <w:lang w:val="de-DE" w:eastAsia="de-DE"/>
    </w:rPr>
  </w:style>
  <w:style w:type="table" w:styleId="TableGrid">
    <w:name w:val="Table Grid"/>
    <w:basedOn w:val="TableNormal"/>
    <w:uiPriority w:val="59"/>
    <w:rsid w:val="0049441C"/>
    <w:rPr>
      <w:rFonts w:ascii="Arial" w:hAnsi="Arial"/>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Lembke</dc:creator>
  <cp:keywords/>
  <dc:description/>
  <cp:lastModifiedBy>Nina Lembke</cp:lastModifiedBy>
  <cp:revision>3</cp:revision>
  <dcterms:created xsi:type="dcterms:W3CDTF">2020-10-17T13:50:00Z</dcterms:created>
  <dcterms:modified xsi:type="dcterms:W3CDTF">2020-10-22T17:25:00Z</dcterms:modified>
</cp:coreProperties>
</file>