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6AE862" w14:textId="77777777" w:rsidR="00BD2EA2" w:rsidRPr="00BD2EA2" w:rsidRDefault="00BD2EA2" w:rsidP="00BD2EA2">
      <w:pPr>
        <w:spacing w:line="240" w:lineRule="auto"/>
        <w:outlineLvl w:val="1"/>
        <w:rPr>
          <w:rFonts w:ascii="Times New Roman" w:eastAsia="Times New Roman" w:hAnsi="Times New Roman" w:cs="Times New Roman"/>
          <w:b/>
          <w:bCs/>
          <w:sz w:val="36"/>
          <w:szCs w:val="36"/>
        </w:rPr>
      </w:pPr>
      <w:r w:rsidRPr="00BD2EA2">
        <w:rPr>
          <w:rFonts w:ascii="Calibri" w:eastAsia="Times New Roman" w:hAnsi="Calibri" w:cs="Calibri"/>
          <w:b/>
          <w:bCs/>
          <w:color w:val="000000"/>
          <w:sz w:val="24"/>
          <w:szCs w:val="24"/>
        </w:rPr>
        <w:t>Attribution of biodiversity trends</w:t>
      </w:r>
    </w:p>
    <w:p w14:paraId="1861D75D" w14:textId="77777777" w:rsidR="00BD2EA2" w:rsidRPr="00BD2EA2" w:rsidRDefault="00BD2EA2" w:rsidP="00BD2EA2">
      <w:pPr>
        <w:spacing w:line="240" w:lineRule="auto"/>
        <w:rPr>
          <w:rFonts w:ascii="Times New Roman" w:eastAsia="Times New Roman" w:hAnsi="Times New Roman" w:cs="Times New Roman"/>
          <w:sz w:val="24"/>
          <w:szCs w:val="24"/>
        </w:rPr>
      </w:pPr>
      <w:r w:rsidRPr="00BD2EA2">
        <w:rPr>
          <w:rFonts w:ascii="Calibri" w:eastAsia="Times New Roman" w:hAnsi="Calibri" w:cs="Calibri"/>
          <w:color w:val="000000"/>
          <w:sz w:val="24"/>
          <w:szCs w:val="24"/>
        </w:rPr>
        <w:t>We also evaluated how effectively monitoring networks could attribute biodiversity changes to five key drivers that shape ecological dynamics across Europe. These drivers were selected for their significant ecological impact and monitoring relevance, representing major biological pressures, human influences, and conservation interventions. The drivers included:</w:t>
      </w:r>
    </w:p>
    <w:p w14:paraId="7C8FC381" w14:textId="77777777" w:rsidR="00BD2EA2" w:rsidRPr="00BD2EA2" w:rsidRDefault="00BD2EA2" w:rsidP="00BD2EA2">
      <w:pPr>
        <w:numPr>
          <w:ilvl w:val="0"/>
          <w:numId w:val="1"/>
        </w:numPr>
        <w:spacing w:line="240" w:lineRule="auto"/>
        <w:textAlignment w:val="baseline"/>
        <w:rPr>
          <w:rFonts w:ascii="Calibri" w:eastAsia="Times New Roman" w:hAnsi="Calibri" w:cs="Calibri"/>
          <w:color w:val="000000"/>
          <w:sz w:val="24"/>
          <w:szCs w:val="24"/>
        </w:rPr>
      </w:pPr>
      <w:r w:rsidRPr="00BD2EA2">
        <w:rPr>
          <w:rFonts w:ascii="Calibri" w:eastAsia="Times New Roman" w:hAnsi="Calibri" w:cs="Calibri"/>
          <w:b/>
          <w:bCs/>
          <w:color w:val="000000"/>
          <w:sz w:val="24"/>
          <w:szCs w:val="24"/>
        </w:rPr>
        <w:t>Nitrogen Deposition</w:t>
      </w:r>
    </w:p>
    <w:p w14:paraId="324C18F6" w14:textId="77777777" w:rsidR="00BD2EA2" w:rsidRPr="00BD2EA2" w:rsidRDefault="00BD2EA2" w:rsidP="00BD2EA2">
      <w:pPr>
        <w:spacing w:line="240" w:lineRule="auto"/>
        <w:ind w:left="720"/>
        <w:rPr>
          <w:rFonts w:ascii="Times New Roman" w:eastAsia="Times New Roman" w:hAnsi="Times New Roman" w:cs="Times New Roman"/>
          <w:sz w:val="24"/>
          <w:szCs w:val="24"/>
        </w:rPr>
      </w:pPr>
      <w:r w:rsidRPr="00BD2EA2">
        <w:rPr>
          <w:rFonts w:ascii="Calibri" w:eastAsia="Times New Roman" w:hAnsi="Calibri" w:cs="Calibri"/>
          <w:color w:val="000000"/>
          <w:sz w:val="24"/>
          <w:szCs w:val="24"/>
        </w:rPr>
        <w:t>Nitrogen deposition significantly impacts terrestrial ecosystems through nutrient enrichment and soil acidification (</w:t>
      </w:r>
      <w:r w:rsidRPr="00BD2EA2">
        <w:rPr>
          <w:rFonts w:ascii="Calibri" w:eastAsia="Times New Roman" w:hAnsi="Calibri" w:cs="Calibri"/>
          <w:color w:val="000000"/>
          <w:sz w:val="24"/>
          <w:szCs w:val="24"/>
          <w:shd w:val="clear" w:color="auto" w:fill="00FFFF"/>
        </w:rPr>
        <w:t>Chen et al., 2023</w:t>
      </w:r>
      <w:r w:rsidRPr="00BD2EA2">
        <w:rPr>
          <w:rFonts w:ascii="Calibri" w:eastAsia="Times New Roman" w:hAnsi="Calibri" w:cs="Calibri"/>
          <w:color w:val="000000"/>
          <w:sz w:val="24"/>
          <w:szCs w:val="24"/>
        </w:rPr>
        <w:t>), affecting both animal and plant communities (</w:t>
      </w:r>
      <w:proofErr w:type="spellStart"/>
      <w:r w:rsidRPr="00BD2EA2">
        <w:rPr>
          <w:rFonts w:ascii="Calibri" w:eastAsia="Times New Roman" w:hAnsi="Calibri" w:cs="Calibri"/>
          <w:color w:val="000000"/>
          <w:sz w:val="24"/>
          <w:szCs w:val="24"/>
          <w:shd w:val="clear" w:color="auto" w:fill="00FFFF"/>
        </w:rPr>
        <w:t>Bobbink</w:t>
      </w:r>
      <w:proofErr w:type="spellEnd"/>
      <w:r w:rsidRPr="00BD2EA2">
        <w:rPr>
          <w:rFonts w:ascii="Calibri" w:eastAsia="Times New Roman" w:hAnsi="Calibri" w:cs="Calibri"/>
          <w:color w:val="000000"/>
          <w:sz w:val="24"/>
          <w:szCs w:val="24"/>
          <w:shd w:val="clear" w:color="auto" w:fill="00FFFF"/>
        </w:rPr>
        <w:t xml:space="preserve"> et al., 2010; Stevens et al., 2018</w:t>
      </w:r>
      <w:r w:rsidRPr="00BD2EA2">
        <w:rPr>
          <w:rFonts w:ascii="Calibri" w:eastAsia="Times New Roman" w:hAnsi="Calibri" w:cs="Calibri"/>
          <w:color w:val="000000"/>
          <w:sz w:val="24"/>
          <w:szCs w:val="24"/>
        </w:rPr>
        <w:t xml:space="preserve">). For this driver, we utilized nitrogen deposition data from the European Monitoring and Evaluation </w:t>
      </w:r>
      <w:proofErr w:type="spellStart"/>
      <w:r w:rsidRPr="00BD2EA2">
        <w:rPr>
          <w:rFonts w:ascii="Calibri" w:eastAsia="Times New Roman" w:hAnsi="Calibri" w:cs="Calibri"/>
          <w:color w:val="000000"/>
          <w:sz w:val="24"/>
          <w:szCs w:val="24"/>
        </w:rPr>
        <w:t>Programme</w:t>
      </w:r>
      <w:proofErr w:type="spellEnd"/>
      <w:r w:rsidRPr="00BD2EA2">
        <w:rPr>
          <w:rFonts w:ascii="Calibri" w:eastAsia="Times New Roman" w:hAnsi="Calibri" w:cs="Calibri"/>
          <w:color w:val="000000"/>
          <w:sz w:val="24"/>
          <w:szCs w:val="24"/>
        </w:rPr>
        <w:t xml:space="preserve"> (EMEP) database (</w:t>
      </w:r>
      <w:hyperlink r:id="rId5" w:history="1">
        <w:r w:rsidRPr="00BD2EA2">
          <w:rPr>
            <w:rFonts w:ascii="Calibri" w:eastAsia="Times New Roman" w:hAnsi="Calibri" w:cs="Calibri"/>
            <w:color w:val="0563C1"/>
            <w:sz w:val="24"/>
            <w:szCs w:val="24"/>
            <w:u w:val="single"/>
          </w:rPr>
          <w:t>https://emep.int/mscw/mscw_moddata.html</w:t>
        </w:r>
      </w:hyperlink>
      <w:r w:rsidRPr="00BD2EA2">
        <w:rPr>
          <w:rFonts w:ascii="Calibri" w:eastAsia="Times New Roman" w:hAnsi="Calibri" w:cs="Calibri"/>
          <w:color w:val="000000"/>
          <w:sz w:val="24"/>
          <w:szCs w:val="24"/>
        </w:rPr>
        <w:t>) from 2022 at 11 km (0.1°) resolution. We focused on oxidized nitrogen (NOx) rather than reduced nitrogen (</w:t>
      </w:r>
      <w:proofErr w:type="spellStart"/>
      <w:r w:rsidRPr="00BD2EA2">
        <w:rPr>
          <w:rFonts w:ascii="Calibri" w:eastAsia="Times New Roman" w:hAnsi="Calibri" w:cs="Calibri"/>
          <w:color w:val="000000"/>
          <w:sz w:val="24"/>
          <w:szCs w:val="24"/>
        </w:rPr>
        <w:t>NHy</w:t>
      </w:r>
      <w:proofErr w:type="spellEnd"/>
      <w:r w:rsidRPr="00BD2EA2">
        <w:rPr>
          <w:rFonts w:ascii="Calibri" w:eastAsia="Times New Roman" w:hAnsi="Calibri" w:cs="Calibri"/>
          <w:color w:val="000000"/>
          <w:sz w:val="24"/>
          <w:szCs w:val="24"/>
        </w:rPr>
        <w:t xml:space="preserve">), as NOx better represents regional-scale patterns while </w:t>
      </w:r>
      <w:proofErr w:type="spellStart"/>
      <w:r w:rsidRPr="00BD2EA2">
        <w:rPr>
          <w:rFonts w:ascii="Calibri" w:eastAsia="Times New Roman" w:hAnsi="Calibri" w:cs="Calibri"/>
          <w:color w:val="000000"/>
          <w:sz w:val="24"/>
          <w:szCs w:val="24"/>
        </w:rPr>
        <w:t>NHy</w:t>
      </w:r>
      <w:proofErr w:type="spellEnd"/>
      <w:r w:rsidRPr="00BD2EA2">
        <w:rPr>
          <w:rFonts w:ascii="Calibri" w:eastAsia="Times New Roman" w:hAnsi="Calibri" w:cs="Calibri"/>
          <w:color w:val="000000"/>
          <w:sz w:val="24"/>
          <w:szCs w:val="24"/>
        </w:rPr>
        <w:t xml:space="preserve"> deposition has high local-scale and is largely concentrated near emission sources (</w:t>
      </w:r>
      <w:r w:rsidRPr="00BD2EA2">
        <w:rPr>
          <w:rFonts w:ascii="Calibri" w:eastAsia="Times New Roman" w:hAnsi="Calibri" w:cs="Calibri"/>
          <w:color w:val="000000"/>
          <w:sz w:val="24"/>
          <w:szCs w:val="24"/>
          <w:shd w:val="clear" w:color="auto" w:fill="00FFFF"/>
        </w:rPr>
        <w:t xml:space="preserve">Stevens et al., </w:t>
      </w:r>
      <w:proofErr w:type="gramStart"/>
      <w:r w:rsidRPr="00BD2EA2">
        <w:rPr>
          <w:rFonts w:ascii="Calibri" w:eastAsia="Times New Roman" w:hAnsi="Calibri" w:cs="Calibri"/>
          <w:color w:val="000000"/>
          <w:sz w:val="24"/>
          <w:szCs w:val="24"/>
          <w:shd w:val="clear" w:color="auto" w:fill="00FFFF"/>
        </w:rPr>
        <w:t>2011</w:t>
      </w:r>
      <w:r w:rsidRPr="00BD2EA2">
        <w:rPr>
          <w:rFonts w:ascii="Calibri" w:eastAsia="Times New Roman" w:hAnsi="Calibri" w:cs="Calibri"/>
          <w:color w:val="000000"/>
          <w:sz w:val="24"/>
          <w:szCs w:val="24"/>
        </w:rPr>
        <w:t>)(</w:t>
      </w:r>
      <w:proofErr w:type="spellStart"/>
      <w:proofErr w:type="gramEnd"/>
      <w:r w:rsidRPr="00BD2EA2">
        <w:rPr>
          <w:rFonts w:ascii="Calibri" w:eastAsia="Times New Roman" w:hAnsi="Calibri" w:cs="Calibri"/>
          <w:color w:val="000000"/>
          <w:sz w:val="24"/>
          <w:szCs w:val="24"/>
          <w:shd w:val="clear" w:color="auto" w:fill="00FFFF"/>
        </w:rPr>
        <w:t>Asman</w:t>
      </w:r>
      <w:proofErr w:type="spellEnd"/>
      <w:r w:rsidRPr="00BD2EA2">
        <w:rPr>
          <w:rFonts w:ascii="Calibri" w:eastAsia="Times New Roman" w:hAnsi="Calibri" w:cs="Calibri"/>
          <w:color w:val="000000"/>
          <w:sz w:val="24"/>
          <w:szCs w:val="24"/>
          <w:shd w:val="clear" w:color="auto" w:fill="00FFFF"/>
        </w:rPr>
        <w:t xml:space="preserve"> W. A. H., 1998</w:t>
      </w:r>
      <w:r w:rsidRPr="00BD2EA2">
        <w:rPr>
          <w:rFonts w:ascii="Calibri" w:eastAsia="Times New Roman" w:hAnsi="Calibri" w:cs="Calibri"/>
          <w:color w:val="000000"/>
          <w:sz w:val="24"/>
          <w:szCs w:val="24"/>
        </w:rPr>
        <w:t xml:space="preserve">). Additionally, NOx deposition correlates spatially with </w:t>
      </w:r>
      <w:proofErr w:type="spellStart"/>
      <w:r w:rsidRPr="00BD2EA2">
        <w:rPr>
          <w:rFonts w:ascii="Calibri" w:eastAsia="Times New Roman" w:hAnsi="Calibri" w:cs="Calibri"/>
          <w:color w:val="000000"/>
          <w:sz w:val="24"/>
          <w:szCs w:val="24"/>
        </w:rPr>
        <w:t>NHy</w:t>
      </w:r>
      <w:proofErr w:type="spellEnd"/>
      <w:r w:rsidRPr="00BD2EA2">
        <w:rPr>
          <w:rFonts w:ascii="Calibri" w:eastAsia="Times New Roman" w:hAnsi="Calibri" w:cs="Calibri"/>
          <w:color w:val="000000"/>
          <w:sz w:val="24"/>
          <w:szCs w:val="24"/>
        </w:rPr>
        <w:t xml:space="preserve"> across Europe (</w:t>
      </w:r>
      <w:proofErr w:type="spellStart"/>
      <w:r w:rsidRPr="00BD2EA2">
        <w:rPr>
          <w:rFonts w:ascii="Calibri" w:eastAsia="Times New Roman" w:hAnsi="Calibri" w:cs="Calibri"/>
          <w:color w:val="000000"/>
          <w:sz w:val="24"/>
          <w:szCs w:val="24"/>
          <w:shd w:val="clear" w:color="auto" w:fill="00FFFF"/>
        </w:rPr>
        <w:t>Staude</w:t>
      </w:r>
      <w:proofErr w:type="spellEnd"/>
      <w:r w:rsidRPr="00BD2EA2">
        <w:rPr>
          <w:rFonts w:ascii="Calibri" w:eastAsia="Times New Roman" w:hAnsi="Calibri" w:cs="Calibri"/>
          <w:color w:val="000000"/>
          <w:sz w:val="24"/>
          <w:szCs w:val="24"/>
          <w:shd w:val="clear" w:color="auto" w:fill="00FFFF"/>
        </w:rPr>
        <w:t xml:space="preserve"> et al., 2020</w:t>
      </w:r>
      <w:r w:rsidRPr="00BD2EA2">
        <w:rPr>
          <w:rFonts w:ascii="Calibri" w:eastAsia="Times New Roman" w:hAnsi="Calibri" w:cs="Calibri"/>
          <w:color w:val="000000"/>
          <w:sz w:val="24"/>
          <w:szCs w:val="24"/>
        </w:rPr>
        <w:t>), making it a representative indicator of broader nitrogen effects. The nitrogen oxides deposition data was resampled to 2 km resolution and categorized into low, medium, and high levels of deposition intensity using the 33rd and 67th percentiles. </w:t>
      </w:r>
    </w:p>
    <w:p w14:paraId="2C665AD4" w14:textId="77777777" w:rsidR="00BD2EA2" w:rsidRPr="00BD2EA2" w:rsidRDefault="00BD2EA2" w:rsidP="00BD2EA2">
      <w:pPr>
        <w:numPr>
          <w:ilvl w:val="0"/>
          <w:numId w:val="2"/>
        </w:numPr>
        <w:spacing w:line="240" w:lineRule="auto"/>
        <w:textAlignment w:val="baseline"/>
        <w:rPr>
          <w:rFonts w:ascii="Calibri" w:eastAsia="Times New Roman" w:hAnsi="Calibri" w:cs="Calibri"/>
          <w:color w:val="000000"/>
          <w:sz w:val="24"/>
          <w:szCs w:val="24"/>
        </w:rPr>
      </w:pPr>
      <w:r w:rsidRPr="00BD2EA2">
        <w:rPr>
          <w:rFonts w:ascii="Calibri" w:eastAsia="Times New Roman" w:hAnsi="Calibri" w:cs="Calibri"/>
          <w:b/>
          <w:bCs/>
          <w:color w:val="000000"/>
          <w:sz w:val="24"/>
          <w:szCs w:val="24"/>
        </w:rPr>
        <w:t>Invasive Species</w:t>
      </w:r>
      <w:r w:rsidRPr="00BD2EA2">
        <w:rPr>
          <w:rFonts w:ascii="Calibri" w:eastAsia="Times New Roman" w:hAnsi="Calibri" w:cs="Calibri"/>
          <w:color w:val="000000"/>
          <w:sz w:val="24"/>
          <w:szCs w:val="24"/>
        </w:rPr>
        <w:br/>
        <w:t xml:space="preserve">Invasive species are a critical driver of biodiversity loss, altering native ecosystems and increasing the extinction risk of native species </w:t>
      </w:r>
      <w:r w:rsidRPr="00BD2EA2">
        <w:rPr>
          <w:rFonts w:ascii="Calibri" w:eastAsia="Times New Roman" w:hAnsi="Calibri" w:cs="Calibri"/>
          <w:color w:val="000000"/>
          <w:sz w:val="24"/>
          <w:szCs w:val="24"/>
          <w:shd w:val="clear" w:color="auto" w:fill="00FFFF"/>
        </w:rPr>
        <w:t>(</w:t>
      </w:r>
      <w:proofErr w:type="spellStart"/>
      <w:r w:rsidRPr="00BD2EA2">
        <w:rPr>
          <w:rFonts w:ascii="Calibri" w:eastAsia="Times New Roman" w:hAnsi="Calibri" w:cs="Calibri"/>
          <w:color w:val="000000"/>
          <w:sz w:val="24"/>
          <w:szCs w:val="24"/>
          <w:shd w:val="clear" w:color="auto" w:fill="00FFFF"/>
        </w:rPr>
        <w:t>Simberloff</w:t>
      </w:r>
      <w:proofErr w:type="spellEnd"/>
      <w:r w:rsidRPr="00BD2EA2">
        <w:rPr>
          <w:rFonts w:ascii="Calibri" w:eastAsia="Times New Roman" w:hAnsi="Calibri" w:cs="Calibri"/>
          <w:color w:val="000000"/>
          <w:sz w:val="24"/>
          <w:szCs w:val="24"/>
          <w:shd w:val="clear" w:color="auto" w:fill="00FFFF"/>
        </w:rPr>
        <w:t xml:space="preserve"> et al., 2013; </w:t>
      </w:r>
      <w:proofErr w:type="spellStart"/>
      <w:r w:rsidRPr="00BD2EA2">
        <w:rPr>
          <w:rFonts w:ascii="Calibri" w:eastAsia="Times New Roman" w:hAnsi="Calibri" w:cs="Calibri"/>
          <w:color w:val="000000"/>
          <w:sz w:val="24"/>
          <w:szCs w:val="24"/>
          <w:shd w:val="clear" w:color="auto" w:fill="00FFFF"/>
        </w:rPr>
        <w:t>Bellard</w:t>
      </w:r>
      <w:proofErr w:type="spellEnd"/>
      <w:r w:rsidRPr="00BD2EA2">
        <w:rPr>
          <w:rFonts w:ascii="Calibri" w:eastAsia="Times New Roman" w:hAnsi="Calibri" w:cs="Calibri"/>
          <w:color w:val="000000"/>
          <w:sz w:val="24"/>
          <w:szCs w:val="24"/>
          <w:shd w:val="clear" w:color="auto" w:fill="00FFFF"/>
        </w:rPr>
        <w:t xml:space="preserve"> et al., 2016).</w:t>
      </w:r>
      <w:r w:rsidRPr="00BD2EA2">
        <w:rPr>
          <w:rFonts w:ascii="Calibri" w:eastAsia="Times New Roman" w:hAnsi="Calibri" w:cs="Calibri"/>
          <w:color w:val="000000"/>
          <w:sz w:val="24"/>
          <w:szCs w:val="24"/>
        </w:rPr>
        <w:t xml:space="preserve"> We utilized occurrence records from GBIF until May 2025 of 88 invasive alien species listed under Regulation (EU) 1143/2014. Occurrence data for </w:t>
      </w:r>
      <w:r w:rsidRPr="00BD2EA2">
        <w:rPr>
          <w:rFonts w:ascii="Calibri" w:eastAsia="Times New Roman" w:hAnsi="Calibri" w:cs="Calibri"/>
          <w:color w:val="000000"/>
          <w:sz w:val="24"/>
          <w:szCs w:val="24"/>
          <w:shd w:val="clear" w:color="auto" w:fill="00FF00"/>
        </w:rPr>
        <w:t>80</w:t>
      </w:r>
      <w:r w:rsidRPr="00BD2EA2">
        <w:rPr>
          <w:rFonts w:ascii="Calibri" w:eastAsia="Times New Roman" w:hAnsi="Calibri" w:cs="Calibri"/>
          <w:color w:val="000000"/>
          <w:sz w:val="24"/>
          <w:szCs w:val="24"/>
        </w:rPr>
        <w:t xml:space="preserve"> invasive species within our study area were rasterized at 2 km resolution, with invasive species richness classified in three classes of invasion intensity: no invasion, low (one species) and high (more than one species), based on the 50</w:t>
      </w:r>
      <w:r w:rsidRPr="00BD2EA2">
        <w:rPr>
          <w:rFonts w:ascii="Calibri" w:eastAsia="Times New Roman" w:hAnsi="Calibri" w:cs="Calibri"/>
          <w:color w:val="000000"/>
          <w:sz w:val="14"/>
          <w:szCs w:val="14"/>
          <w:vertAlign w:val="superscript"/>
        </w:rPr>
        <w:t>th</w:t>
      </w:r>
      <w:r w:rsidRPr="00BD2EA2">
        <w:rPr>
          <w:rFonts w:ascii="Calibri" w:eastAsia="Times New Roman" w:hAnsi="Calibri" w:cs="Calibri"/>
          <w:color w:val="000000"/>
          <w:sz w:val="24"/>
          <w:szCs w:val="24"/>
        </w:rPr>
        <w:t xml:space="preserve"> percentile of non-zero values. The class boundaries were here determined by the data distribution, highly zero inflated </w:t>
      </w:r>
      <w:r w:rsidRPr="00BD2EA2">
        <w:rPr>
          <w:rFonts w:ascii="Calibri" w:eastAsia="Times New Roman" w:hAnsi="Calibri" w:cs="Calibri"/>
          <w:color w:val="000000"/>
          <w:sz w:val="24"/>
          <w:szCs w:val="24"/>
          <w:shd w:val="clear" w:color="auto" w:fill="FFFF00"/>
        </w:rPr>
        <w:t>(see Supp. Mat, SX)</w:t>
      </w:r>
      <w:r w:rsidRPr="00BD2EA2">
        <w:rPr>
          <w:rFonts w:ascii="Calibri" w:eastAsia="Times New Roman" w:hAnsi="Calibri" w:cs="Calibri"/>
          <w:color w:val="000000"/>
          <w:sz w:val="24"/>
          <w:szCs w:val="24"/>
        </w:rPr>
        <w:t>. </w:t>
      </w:r>
    </w:p>
    <w:p w14:paraId="6DB7391A" w14:textId="77777777" w:rsidR="00BD2EA2" w:rsidRPr="00BD2EA2" w:rsidRDefault="00BD2EA2" w:rsidP="00BD2EA2">
      <w:pPr>
        <w:numPr>
          <w:ilvl w:val="0"/>
          <w:numId w:val="3"/>
        </w:numPr>
        <w:spacing w:line="240" w:lineRule="auto"/>
        <w:textAlignment w:val="baseline"/>
        <w:rPr>
          <w:rFonts w:ascii="Calibri" w:eastAsia="Times New Roman" w:hAnsi="Calibri" w:cs="Calibri"/>
          <w:color w:val="000000"/>
          <w:sz w:val="24"/>
          <w:szCs w:val="24"/>
        </w:rPr>
      </w:pPr>
      <w:r w:rsidRPr="00BD2EA2">
        <w:rPr>
          <w:rFonts w:ascii="Calibri" w:eastAsia="Times New Roman" w:hAnsi="Calibri" w:cs="Calibri"/>
          <w:b/>
          <w:bCs/>
          <w:color w:val="000000"/>
          <w:sz w:val="24"/>
          <w:szCs w:val="24"/>
        </w:rPr>
        <w:t>Climate Change Velocity</w:t>
      </w:r>
      <w:r w:rsidRPr="00BD2EA2">
        <w:rPr>
          <w:rFonts w:ascii="Calibri" w:eastAsia="Times New Roman" w:hAnsi="Calibri" w:cs="Calibri"/>
          <w:color w:val="000000"/>
          <w:sz w:val="24"/>
          <w:szCs w:val="24"/>
        </w:rPr>
        <w:br/>
        <w:t>Climate change velocity, reflecting the speed of shifting climatic conditions, was selected for its influence on species migration and habitat shifts (</w:t>
      </w:r>
      <w:r w:rsidRPr="00BD2EA2">
        <w:rPr>
          <w:rFonts w:ascii="Calibri" w:eastAsia="Times New Roman" w:hAnsi="Calibri" w:cs="Calibri"/>
          <w:color w:val="000000"/>
          <w:sz w:val="24"/>
          <w:szCs w:val="24"/>
          <w:shd w:val="clear" w:color="auto" w:fill="00FFFF"/>
        </w:rPr>
        <w:t>IPCC, 2014</w:t>
      </w:r>
      <w:r w:rsidRPr="00BD2EA2">
        <w:rPr>
          <w:rFonts w:ascii="Calibri" w:eastAsia="Times New Roman" w:hAnsi="Calibri" w:cs="Calibri"/>
          <w:color w:val="000000"/>
          <w:sz w:val="24"/>
          <w:szCs w:val="24"/>
        </w:rPr>
        <w:t>). Climate change velocity was calculated as the difference in annual mean temperature between future projection (CMCC_ESM2; 2021–2040, SSP245 scenario) and historical data (</w:t>
      </w:r>
      <w:proofErr w:type="spellStart"/>
      <w:r w:rsidRPr="00BD2EA2">
        <w:rPr>
          <w:rFonts w:ascii="Calibri" w:eastAsia="Times New Roman" w:hAnsi="Calibri" w:cs="Calibri"/>
          <w:color w:val="000000"/>
          <w:sz w:val="24"/>
          <w:szCs w:val="24"/>
        </w:rPr>
        <w:t>WorldClim</w:t>
      </w:r>
      <w:proofErr w:type="spellEnd"/>
      <w:r w:rsidRPr="00BD2EA2">
        <w:rPr>
          <w:rFonts w:ascii="Calibri" w:eastAsia="Times New Roman" w:hAnsi="Calibri" w:cs="Calibri"/>
          <w:color w:val="000000"/>
          <w:sz w:val="24"/>
          <w:szCs w:val="24"/>
        </w:rPr>
        <w:t xml:space="preserve"> v2.1; 1970–2000). The data was aggregated at 2 km resolution and classified into low, medium, and high warming levels using the 33rd and 67th quantiles of delta values.</w:t>
      </w:r>
    </w:p>
    <w:p w14:paraId="29167C3A" w14:textId="77777777" w:rsidR="00BD2EA2" w:rsidRPr="00BD2EA2" w:rsidRDefault="00BD2EA2" w:rsidP="00BD2EA2">
      <w:pPr>
        <w:numPr>
          <w:ilvl w:val="0"/>
          <w:numId w:val="4"/>
        </w:numPr>
        <w:spacing w:line="240" w:lineRule="auto"/>
        <w:textAlignment w:val="baseline"/>
        <w:rPr>
          <w:rFonts w:ascii="Calibri" w:eastAsia="Times New Roman" w:hAnsi="Calibri" w:cs="Calibri"/>
          <w:color w:val="000000"/>
          <w:sz w:val="24"/>
          <w:szCs w:val="24"/>
        </w:rPr>
      </w:pPr>
      <w:r w:rsidRPr="00BD2EA2">
        <w:rPr>
          <w:rFonts w:ascii="Calibri" w:eastAsia="Times New Roman" w:hAnsi="Calibri" w:cs="Calibri"/>
          <w:b/>
          <w:bCs/>
          <w:color w:val="000000"/>
          <w:sz w:val="24"/>
          <w:szCs w:val="24"/>
        </w:rPr>
        <w:t>Land Use Change</w:t>
      </w:r>
      <w:r w:rsidRPr="00BD2EA2">
        <w:rPr>
          <w:rFonts w:ascii="Calibri" w:eastAsia="Times New Roman" w:hAnsi="Calibri" w:cs="Calibri"/>
          <w:color w:val="000000"/>
          <w:sz w:val="24"/>
          <w:szCs w:val="24"/>
        </w:rPr>
        <w:br/>
        <w:t xml:space="preserve">Land use change is one of the major drivers of habitat loss and biodiversity decline </w:t>
      </w:r>
      <w:r w:rsidRPr="00BD2EA2">
        <w:rPr>
          <w:rFonts w:ascii="Calibri" w:eastAsia="Times New Roman" w:hAnsi="Calibri" w:cs="Calibri"/>
          <w:color w:val="000000"/>
          <w:sz w:val="24"/>
          <w:szCs w:val="24"/>
          <w:shd w:val="clear" w:color="auto" w:fill="FFFF00"/>
        </w:rPr>
        <w:t>(</w:t>
      </w:r>
      <w:proofErr w:type="spellStart"/>
      <w:r w:rsidRPr="00BD2EA2">
        <w:rPr>
          <w:rFonts w:ascii="Calibri" w:eastAsia="Times New Roman" w:hAnsi="Calibri" w:cs="Calibri"/>
          <w:color w:val="000000"/>
          <w:sz w:val="24"/>
          <w:szCs w:val="24"/>
          <w:shd w:val="clear" w:color="auto" w:fill="00FFFF"/>
        </w:rPr>
        <w:t>Lindenmayer</w:t>
      </w:r>
      <w:proofErr w:type="spellEnd"/>
      <w:r w:rsidRPr="00BD2EA2">
        <w:rPr>
          <w:rFonts w:ascii="Calibri" w:eastAsia="Times New Roman" w:hAnsi="Calibri" w:cs="Calibri"/>
          <w:color w:val="000000"/>
          <w:sz w:val="24"/>
          <w:szCs w:val="24"/>
          <w:shd w:val="clear" w:color="auto" w:fill="00FFFF"/>
        </w:rPr>
        <w:t xml:space="preserve"> et al., 2012</w:t>
      </w:r>
      <w:r w:rsidRPr="00BD2EA2">
        <w:rPr>
          <w:rFonts w:ascii="Calibri" w:eastAsia="Times New Roman" w:hAnsi="Calibri" w:cs="Calibri"/>
          <w:color w:val="000000"/>
          <w:sz w:val="24"/>
          <w:szCs w:val="24"/>
        </w:rPr>
        <w:t xml:space="preserve">; </w:t>
      </w:r>
      <w:r w:rsidRPr="00BD2EA2">
        <w:rPr>
          <w:rFonts w:ascii="Calibri" w:eastAsia="Times New Roman" w:hAnsi="Calibri" w:cs="Calibri"/>
          <w:color w:val="000000"/>
          <w:sz w:val="24"/>
          <w:szCs w:val="24"/>
          <w:shd w:val="clear" w:color="auto" w:fill="00FFFF"/>
        </w:rPr>
        <w:t>IPBES, 2019</w:t>
      </w:r>
      <w:r w:rsidRPr="00BD2EA2">
        <w:rPr>
          <w:rFonts w:ascii="Calibri" w:eastAsia="Times New Roman" w:hAnsi="Calibri" w:cs="Calibri"/>
          <w:color w:val="000000"/>
          <w:sz w:val="24"/>
          <w:szCs w:val="24"/>
        </w:rPr>
        <w:t xml:space="preserve">). For this driver, we utilized Corine Land Cover data from 2000 and 2018 to calculate land use change (EEA, 2019). The original 100 m resolution data were classified into five Level 1 categories: artificial surfaces, agricultural areas, forests and </w:t>
      </w:r>
      <w:r w:rsidRPr="00BD2EA2">
        <w:rPr>
          <w:rFonts w:ascii="Calibri" w:eastAsia="Times New Roman" w:hAnsi="Calibri" w:cs="Calibri"/>
          <w:color w:val="000000"/>
          <w:sz w:val="24"/>
          <w:szCs w:val="24"/>
        </w:rPr>
        <w:lastRenderedPageBreak/>
        <w:t>semi-natural areas, wetlands, and water bodies. After aggregating to 2 km resolution, changes were quantified as percentage differences between the two time periods and categorized into no change, low, and high change of land use intensity using the 33rd and 67th percentiles. </w:t>
      </w:r>
    </w:p>
    <w:p w14:paraId="5EA8988E" w14:textId="77777777" w:rsidR="00BD2EA2" w:rsidRPr="00BD2EA2" w:rsidRDefault="00BD2EA2" w:rsidP="00BD2EA2">
      <w:pPr>
        <w:numPr>
          <w:ilvl w:val="0"/>
          <w:numId w:val="5"/>
        </w:numPr>
        <w:spacing w:line="240" w:lineRule="auto"/>
        <w:textAlignment w:val="baseline"/>
        <w:rPr>
          <w:rFonts w:ascii="Calibri" w:eastAsia="Times New Roman" w:hAnsi="Calibri" w:cs="Calibri"/>
          <w:b/>
          <w:bCs/>
          <w:color w:val="000000"/>
          <w:sz w:val="24"/>
          <w:szCs w:val="24"/>
        </w:rPr>
      </w:pPr>
      <w:r w:rsidRPr="00BD2EA2">
        <w:rPr>
          <w:rFonts w:ascii="Calibri" w:eastAsia="Times New Roman" w:hAnsi="Calibri" w:cs="Calibri"/>
          <w:b/>
          <w:bCs/>
          <w:color w:val="000000"/>
          <w:sz w:val="24"/>
          <w:szCs w:val="24"/>
        </w:rPr>
        <w:t>Protected Areas</w:t>
      </w:r>
    </w:p>
    <w:p w14:paraId="04F1777A" w14:textId="77777777" w:rsidR="00BD2EA2" w:rsidRPr="00BD2EA2" w:rsidRDefault="00BD2EA2" w:rsidP="00BD2EA2">
      <w:pPr>
        <w:spacing w:line="240" w:lineRule="auto"/>
        <w:ind w:left="720"/>
        <w:rPr>
          <w:rFonts w:ascii="Times New Roman" w:eastAsia="Times New Roman" w:hAnsi="Times New Roman" w:cs="Times New Roman"/>
          <w:sz w:val="24"/>
          <w:szCs w:val="24"/>
        </w:rPr>
      </w:pPr>
      <w:r w:rsidRPr="00BD2EA2">
        <w:rPr>
          <w:rFonts w:ascii="Calibri" w:eastAsia="Times New Roman" w:hAnsi="Calibri" w:cs="Calibri"/>
          <w:color w:val="000000"/>
          <w:sz w:val="24"/>
          <w:szCs w:val="24"/>
        </w:rPr>
        <w:t>Given their central role in EU conservation policy and their direct relevance to the species included in this study, which are protected to varying degrees under Nature Directives, protected areas were included as a key driver in our analysis. Protected areas serve as a key conservation tool for maintaining species populations and habitat integrity (</w:t>
      </w:r>
      <w:proofErr w:type="spellStart"/>
      <w:r w:rsidRPr="00BD2EA2">
        <w:rPr>
          <w:rFonts w:ascii="Calibri" w:eastAsia="Times New Roman" w:hAnsi="Calibri" w:cs="Calibri"/>
          <w:color w:val="000000"/>
          <w:sz w:val="24"/>
          <w:szCs w:val="24"/>
          <w:shd w:val="clear" w:color="auto" w:fill="00FFFF"/>
        </w:rPr>
        <w:t>Geldmann</w:t>
      </w:r>
      <w:proofErr w:type="spellEnd"/>
      <w:r w:rsidRPr="00BD2EA2">
        <w:rPr>
          <w:rFonts w:ascii="Calibri" w:eastAsia="Times New Roman" w:hAnsi="Calibri" w:cs="Calibri"/>
          <w:color w:val="000000"/>
          <w:sz w:val="24"/>
          <w:szCs w:val="24"/>
          <w:shd w:val="clear" w:color="auto" w:fill="00FFFF"/>
        </w:rPr>
        <w:t xml:space="preserve"> et al., 2013; Tilman et al., 2017</w:t>
      </w:r>
      <w:r w:rsidRPr="00BD2EA2">
        <w:rPr>
          <w:rFonts w:ascii="Calibri" w:eastAsia="Times New Roman" w:hAnsi="Calibri" w:cs="Calibri"/>
          <w:color w:val="000000"/>
          <w:sz w:val="24"/>
          <w:szCs w:val="24"/>
        </w:rPr>
        <w:t xml:space="preserve">). Unlike other five drivers representing major causes of biodiversity loss </w:t>
      </w:r>
      <w:r w:rsidRPr="00BD2EA2">
        <w:rPr>
          <w:rFonts w:ascii="Calibri" w:eastAsia="Times New Roman" w:hAnsi="Calibri" w:cs="Calibri"/>
          <w:color w:val="000000"/>
          <w:sz w:val="24"/>
          <w:szCs w:val="24"/>
          <w:shd w:val="clear" w:color="auto" w:fill="00FFFF"/>
        </w:rPr>
        <w:t>(IPBES, 2019</w:t>
      </w:r>
      <w:r w:rsidRPr="00BD2EA2">
        <w:rPr>
          <w:rFonts w:ascii="Calibri" w:eastAsia="Times New Roman" w:hAnsi="Calibri" w:cs="Calibri"/>
          <w:color w:val="000000"/>
          <w:sz w:val="24"/>
          <w:szCs w:val="24"/>
        </w:rPr>
        <w:t>), and despite ongoing challenges in effectiveness (</w:t>
      </w:r>
      <w:r w:rsidRPr="00BD2EA2">
        <w:rPr>
          <w:rFonts w:ascii="Calibri" w:eastAsia="Times New Roman" w:hAnsi="Calibri" w:cs="Calibri"/>
          <w:color w:val="000000"/>
          <w:sz w:val="24"/>
          <w:szCs w:val="24"/>
          <w:shd w:val="clear" w:color="auto" w:fill="00FFFF"/>
        </w:rPr>
        <w:t>Visconti et al., 2019; Maxwell et al., 2020; Li et al., 2024</w:t>
      </w:r>
      <w:r w:rsidRPr="00BD2EA2">
        <w:rPr>
          <w:rFonts w:ascii="Calibri" w:eastAsia="Times New Roman" w:hAnsi="Calibri" w:cs="Calibri"/>
          <w:color w:val="000000"/>
          <w:sz w:val="24"/>
          <w:szCs w:val="24"/>
        </w:rPr>
        <w:t>), protected areas can play a key role in actively mitigate biodiversity decline (</w:t>
      </w:r>
      <w:r w:rsidRPr="00BD2EA2">
        <w:rPr>
          <w:rFonts w:ascii="Calibri" w:eastAsia="Times New Roman" w:hAnsi="Calibri" w:cs="Calibri"/>
          <w:color w:val="000000"/>
          <w:sz w:val="24"/>
          <w:szCs w:val="24"/>
          <w:shd w:val="clear" w:color="auto" w:fill="00FFFF"/>
        </w:rPr>
        <w:t>Gray et al., 2016</w:t>
      </w:r>
      <w:r w:rsidRPr="00BD2EA2">
        <w:rPr>
          <w:rFonts w:ascii="Calibri" w:eastAsia="Times New Roman" w:hAnsi="Calibri" w:cs="Calibri"/>
          <w:color w:val="000000"/>
          <w:sz w:val="24"/>
          <w:szCs w:val="24"/>
        </w:rPr>
        <w:t xml:space="preserve">).  Additionally, they are essential for implementing and achieving the goals of the EU Nature Directives, which depend on them for species and habitat conservation across Europe. Spatial data on protected areas were obtained from two sources: the nationally designated areas dataset (CDDA; EEA, 2024) and the Natura 2000 network (EEA, 2025). CDDA sites smaller than 1 km² were excluded from the analysis. Sites classified under IUCN categories </w:t>
      </w:r>
      <w:proofErr w:type="spellStart"/>
      <w:r w:rsidRPr="00BD2EA2">
        <w:rPr>
          <w:rFonts w:ascii="Calibri" w:eastAsia="Times New Roman" w:hAnsi="Calibri" w:cs="Calibri"/>
          <w:color w:val="000000"/>
          <w:sz w:val="24"/>
          <w:szCs w:val="24"/>
        </w:rPr>
        <w:t>Ia</w:t>
      </w:r>
      <w:proofErr w:type="spellEnd"/>
      <w:r w:rsidRPr="00BD2EA2">
        <w:rPr>
          <w:rFonts w:ascii="Calibri" w:eastAsia="Times New Roman" w:hAnsi="Calibri" w:cs="Calibri"/>
          <w:color w:val="000000"/>
          <w:sz w:val="24"/>
          <w:szCs w:val="24"/>
        </w:rPr>
        <w:t xml:space="preserve">, </w:t>
      </w:r>
      <w:proofErr w:type="spellStart"/>
      <w:r w:rsidRPr="00BD2EA2">
        <w:rPr>
          <w:rFonts w:ascii="Calibri" w:eastAsia="Times New Roman" w:hAnsi="Calibri" w:cs="Calibri"/>
          <w:color w:val="000000"/>
          <w:sz w:val="24"/>
          <w:szCs w:val="24"/>
        </w:rPr>
        <w:t>Ib</w:t>
      </w:r>
      <w:proofErr w:type="spellEnd"/>
      <w:r w:rsidRPr="00BD2EA2">
        <w:rPr>
          <w:rFonts w:ascii="Calibri" w:eastAsia="Times New Roman" w:hAnsi="Calibri" w:cs="Calibri"/>
          <w:color w:val="000000"/>
          <w:sz w:val="24"/>
          <w:szCs w:val="24"/>
        </w:rPr>
        <w:t xml:space="preserve">, or II were designated as </w:t>
      </w:r>
      <w:r w:rsidRPr="00BD2EA2">
        <w:rPr>
          <w:rFonts w:ascii="Calibri" w:eastAsia="Times New Roman" w:hAnsi="Calibri" w:cs="Calibri"/>
          <w:i/>
          <w:iCs/>
          <w:color w:val="000000"/>
          <w:sz w:val="24"/>
          <w:szCs w:val="24"/>
        </w:rPr>
        <w:t>protection level 2</w:t>
      </w:r>
      <w:r w:rsidRPr="00BD2EA2">
        <w:rPr>
          <w:rFonts w:ascii="Calibri" w:eastAsia="Times New Roman" w:hAnsi="Calibri" w:cs="Calibri"/>
          <w:color w:val="000000"/>
          <w:sz w:val="24"/>
          <w:szCs w:val="24"/>
        </w:rPr>
        <w:t xml:space="preserve"> (strictly protected), while all other CDDA sites and all Natura 2000 sites were assigned </w:t>
      </w:r>
      <w:r w:rsidRPr="00BD2EA2">
        <w:rPr>
          <w:rFonts w:ascii="Calibri" w:eastAsia="Times New Roman" w:hAnsi="Calibri" w:cs="Calibri"/>
          <w:i/>
          <w:iCs/>
          <w:color w:val="000000"/>
          <w:sz w:val="24"/>
          <w:szCs w:val="24"/>
        </w:rPr>
        <w:t>protection level 1</w:t>
      </w:r>
      <w:r w:rsidRPr="00BD2EA2">
        <w:rPr>
          <w:rFonts w:ascii="Calibri" w:eastAsia="Times New Roman" w:hAnsi="Calibri" w:cs="Calibri"/>
          <w:color w:val="000000"/>
          <w:sz w:val="24"/>
          <w:szCs w:val="24"/>
        </w:rPr>
        <w:t>. Both datasets were rasterized at a 2 km resolution and subsequently merged for analysis.</w:t>
      </w:r>
    </w:p>
    <w:p w14:paraId="7F13BD1F" w14:textId="77777777" w:rsidR="00E40B46" w:rsidRDefault="00E40B46"/>
    <w:sectPr w:rsidR="00E40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23E3A"/>
    <w:multiLevelType w:val="multilevel"/>
    <w:tmpl w:val="EBAA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DF5494"/>
    <w:multiLevelType w:val="multilevel"/>
    <w:tmpl w:val="FF54C9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 w:numId="3">
    <w:abstractNumId w:val="1"/>
    <w:lvlOverride w:ilvl="0">
      <w:lvl w:ilvl="0">
        <w:numFmt w:val="decimal"/>
        <w:lvlText w:val="%1."/>
        <w:lvlJc w:val="left"/>
      </w:lvl>
    </w:lvlOverride>
  </w:num>
  <w:num w:numId="4">
    <w:abstractNumId w:val="1"/>
    <w:lvlOverride w:ilvl="0">
      <w:lvl w:ilvl="0">
        <w:numFmt w:val="decimal"/>
        <w:lvlText w:val="%1."/>
        <w:lvlJc w:val="left"/>
      </w:lvl>
    </w:lvlOverride>
  </w:num>
  <w:num w:numId="5">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A5"/>
    <w:rsid w:val="004A6CA5"/>
    <w:rsid w:val="00BD2EA2"/>
    <w:rsid w:val="00E40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F524C1-7190-458A-ADDF-6DB4DCE85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D2E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2EA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D2EA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D2E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797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mep.int/mscw/mscw_moddata.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724</Words>
  <Characters>4133</Characters>
  <Application>Microsoft Office Word</Application>
  <DocSecurity>0</DocSecurity>
  <Lines>34</Lines>
  <Paragraphs>9</Paragraphs>
  <ScaleCrop>false</ScaleCrop>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Viti, Martina Marei</dc:creator>
  <cp:keywords/>
  <dc:description/>
  <cp:lastModifiedBy>Viti, Martina Marei</cp:lastModifiedBy>
  <cp:revision>2</cp:revision>
  <dcterms:created xsi:type="dcterms:W3CDTF">2025-06-25T12:45:00Z</dcterms:created>
  <dcterms:modified xsi:type="dcterms:W3CDTF">2025-06-25T12:46:00Z</dcterms:modified>
</cp:coreProperties>
</file>