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A365D"/>
          <w:sz w:val="48"/>
          <w:szCs w:val="48"/>
        </w:rPr>
        <w:t xml:space="preserve">Star-Nose Capacitive Sensor</w:t>
      </w:r>
    </w:p>
    <w:p>
      <w:pPr>
        <w:spacing w:after="60" w:before="0"/>
        <w:jc w:val="center"/>
      </w:pPr>
      <w:r>
        <w:rPr>
          <w:i/>
          <w:iCs/>
          <w:color w:val="4A5568"/>
          <w:sz w:val="28"/>
          <w:szCs w:val="28"/>
        </w:rPr>
        <w:t xml:space="preserve">Figure Prototype Document</w:t>
      </w:r>
    </w:p>
    <w:p>
      <w:pPr>
        <w:spacing w:after="60" w:before="0"/>
        <w:jc w:val="center"/>
      </w:pPr>
      <w:r>
        <w:rPr>
          <w:color w:val="718096"/>
          <w:sz w:val="20"/>
          <w:szCs w:val="20"/>
        </w:rPr>
        <w:t xml:space="preserve">Plots from the repository + synthetic placeholders for data not yet collected</w:t>
      </w:r>
    </w:p>
    <w:p>
      <w:pPr>
        <w:spacing w:after="300" w:before="0"/>
        <w:jc w:val="center"/>
      </w:pPr>
      <w:r>
        <w:rPr>
          <w:color w:val="718096"/>
          <w:sz w:val="20"/>
          <w:szCs w:val="20"/>
        </w:rPr>
        <w:t xml:space="preserve">Jonathan Tirado — June 2026</w:t>
      </w:r>
    </w:p>
    <w:p>
      <w:r>
        <w:t xml:space="preserve"/>
      </w:r>
    </w:p>
    <w:p>
      <w:pPr>
        <w:pBdr>
          <w:bottom w:val="single" w:color="2B6CB0" w:sz="4" w:space="1"/>
        </w:pBdr>
      </w:pPr>
      <w:r>
        <w:rPr>
          <w:i/>
          <w:iCs/>
          <w:color w:val="4A5568"/>
          <w:sz w:val="18"/>
          <w:szCs w:val="18"/>
        </w:rPr>
        <w:t xml:space="preserve">Legend:  🟩 Real repo data   🟧 Synthetic placeholder (data not yet collected)</w:t>
      </w:r>
    </w:p>
    <w:p>
      <w:r>
        <w:br w:type="page"/>
      </w:r>
    </w:p>
    <w:p>
      <w:pPr>
        <w:pBdr>
          <w:bottom w:val="single" w:color="2B6CB0" w:sz="4" w:space="1"/>
        </w:pBdr>
        <w:spacing w:after="80" w:before="280"/>
      </w:pPr>
      <w:r>
        <w:rPr>
          <w:b/>
          <w:bCs/>
          <w:color w:val="1A365D"/>
          <w:sz w:val="28"/>
          <w:szCs w:val="28"/>
        </w:rPr>
        <w:t xml:space="preserve">Figure 1  |  Design and Fabrication of the Star-Nose Sensor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(a) Biological inspiration — PLACEHOLDER</w:t>
      </w:r>
    </w:p>
    <w:p>
      <w:pPr>
        <w:jc w:val="center"/>
      </w:pPr>
      <w:r>
        <w:drawing>
          <wp:inline distT="0" distB="0" distL="0" distR="0">
            <wp:extent cx="47625000" cy="38357175"/>
            <wp:effectExtent t="0" r="0" b="0" l="0"/>
            <wp:docPr id="1" name="bio_placeholder.png" descr="bio_placeholder.png" title="bio_placeho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383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ind w:left="360"/>
      </w:pPr>
      <w:r>
        <w:rPr>
          <w:i/>
          <w:iCs/>
          <w:color w:val="C05621"/>
          <w:sz w:val="18"/>
          <w:szCs w:val="18"/>
        </w:rPr>
        <w:t xml:space="preserve">⚑ To replace with: CC-licensed photo of Condylura cristata + close-up of Eimer's organs on one appendage.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(b) 19-cell hexagonal array layout  🟩 repo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3147000" cy="31442025"/>
                  <wp:effectExtent t="0" r="0" b="0" l="0"/>
                  <wp:docPr id="1" name="hexmap_points.png" descr="hexmap_points.png" title="hexmap_poin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0" cy="3144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0292000" cy="39681150"/>
                  <wp:effectExtent t="0" r="0" b="0" l="0"/>
                  <wp:docPr id="1" name="combined_overview.png" descr="combined_overview.png" title="combined_over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0" cy="396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Left: 19 active electrode positions in the hexagonal diamond grid (∸38 mm diameter). Right: full sensor overview with UR5 integration.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(c) System photograph &amp; UR5 mounting — PLACEHOLDER</w:t>
      </w:r>
    </w:p>
    <w:p>
      <w:pPr>
        <w:spacing w:after="60" w:before="40"/>
        <w:ind w:left="360"/>
      </w:pPr>
      <w:r>
        <w:rPr>
          <w:i/>
          <w:iCs/>
          <w:color w:val="C05621"/>
          <w:sz w:val="18"/>
          <w:szCs w:val="18"/>
        </w:rPr>
        <w:t xml:space="preserve">⚑ To replace with: high-resolution photo of the bare PCB, assembled dome variants, and sensor mounted on UR5 TCP.</w:t>
      </w:r>
    </w:p>
    <w:p>
      <w:r>
        <w:br w:type="page"/>
      </w:r>
    </w:p>
    <w:p>
      <w:pPr>
        <w:pBdr>
          <w:bottom w:val="single" w:color="2B6CB0" w:sz="4" w:space="1"/>
        </w:pBdr>
        <w:spacing w:after="80" w:before="280"/>
      </w:pPr>
      <w:r>
        <w:rPr>
          <w:b/>
          <w:bCs/>
          <w:color w:val="1A365D"/>
          <w:sz w:val="28"/>
          <w:szCs w:val="28"/>
        </w:rPr>
        <w:t xml:space="preserve">Figure 2  |  Electrical Characterisation of the Capacitive Sensors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(a) Raw capacitance vs. force — dual axis  🟩 repo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30994350"/>
                  <wp:effectExtent t="0" r="0" b="0" l="0"/>
                  <wp:docPr id="1" name="loadcell_vs_robot.png" descr="loadcell_vs_robot.png" title="loadcell_vs_robo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3099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15354300"/>
                  <wp:effectExtent t="0" r="0" b="0" l="0"/>
                  <wp:docPr id="1" name="force_cap_dualaxis.png" descr="force_cap_dualaxis.png" title="force_cap_dualaxi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1535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Left: load cell vs. robot TCP force across all channels (May 28 session). Right: capacitance / force dual-axis for a single electrode.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(b) Analog channel time traces  🟩 repo data</w:t>
      </w:r>
    </w:p>
    <w:p>
      <w:pPr>
        <w:jc w:val="center"/>
      </w:pPr>
      <w:r>
        <w:drawing>
          <wp:inline distT="0" distB="0" distL="0" distR="0">
            <wp:extent cx="80962500" cy="58054875"/>
            <wp:effectExtent t="0" r="0" b="0" l="0"/>
            <wp:docPr id="1" name="analog.png" descr="analog.png" title="an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0" cy="580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Raw analog capacitance signals showing press events; note transition smear at press onset/offset.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(c) Per-electrode SNR map  🟧 synthetic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42910125"/>
                  <wp:effectExtent t="0" r="0" b="0" l="0"/>
                  <wp:docPr id="1" name="snr_heatmap.png" descr="snr_heatmap.png" title="snr_heat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429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35156775"/>
                  <wp:effectExtent t="0" r="0" b="0" l="0"/>
                  <wp:docPr id="1" name="crosstalk.png" descr="crosstalk.png" title="crosstal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3515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Left: per-cell SNR on the hexagonal grid — edge cells show lower SNR due to boundary effects. Right: 19×19 cross-talk correlation matrix (synthetic placeholder — real data requires single-point press protocol).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(d) Capacitance vs. force per point  🟩 repo data</w:t>
      </w:r>
    </w:p>
    <w:p>
      <w:pPr>
        <w:jc w:val="center"/>
      </w:pPr>
      <w:r>
        <w:drawing>
          <wp:inline distT="0" distB="0" distL="0" distR="0">
            <wp:extent cx="80962500" cy="59512200"/>
            <wp:effectExtent t="0" r="0" b="0" l="0"/>
            <wp:docPr id="1" name="force_per_point.png" descr="force_per_point.png" title="force_per_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0" cy="595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Force–capacitance relationship for each of the 19 active cells, showing consistent sensitivity across the array.</w:t>
      </w:r>
    </w:p>
    <w:p>
      <w:r>
        <w:br w:type="page"/>
      </w:r>
    </w:p>
    <w:p>
      <w:pPr>
        <w:pBdr>
          <w:bottom w:val="single" w:color="2B6CB0" w:sz="4" w:space="1"/>
        </w:pBdr>
        <w:spacing w:after="80" w:before="280"/>
      </w:pPr>
      <w:r>
        <w:rPr>
          <w:b/>
          <w:bCs/>
          <w:color w:val="1A365D"/>
          <w:sz w:val="28"/>
          <w:szCs w:val="28"/>
        </w:rPr>
        <w:t xml:space="preserve">Figure 3  |  Mechanical Characterisation of Dome Variants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(a) Force–displacement curves — dome comparison  🟧 synthetic + 🟩 repo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34775775"/>
                  <wp:effectExtent t="0" r="0" b="0" l="0"/>
                  <wp:docPr id="1" name="force_disp_domes.png" descr="force_disp_domes.png" title="force_disp_dom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3477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35985450"/>
                  <wp:effectExtent t="0" r="0" b="0" l="0"/>
                  <wp:docPr id="1" name="n_active_vs_depth.png" descr="n_active_vs_depth.png" title="n_active_vs_dept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3598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Left: force–displacement overlay for empty dome, solid dome, and curved adapter (synthetic; real curves from load cell sessions to replace). Right: active cell count (n_active) vs. depth — solid dome spreads contact further.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(b) Force timeline across 19 points  🟩 repo data</w:t>
      </w:r>
    </w:p>
    <w:p>
      <w:pPr>
        <w:jc w:val="center"/>
      </w:pPr>
      <w:r>
        <w:drawing>
          <wp:inline distT="0" distB="0" distL="0" distR="0">
            <wp:extent cx="80962500" cy="35623500"/>
            <wp:effectExtent t="0" r="0" b="0" l="0"/>
            <wp:docPr id="1" name="force_timeline.png" descr="force_timeline.png" title="force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0" cy="3562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Time-series force across all 19 active electrodes during a sequential 19-point press session (empty dome).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(c) Deviation maps — dome variants  🟩 repo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20859750"/>
                  <wp:effectExtent t="0" r="0" b="0" l="0"/>
                  <wp:docPr id="1" name="deviation_map.png" descr="deviation_map.png" title="deviation_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2085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20859750"/>
                  <wp:effectExtent t="0" r="0" b="0" l="0"/>
                  <wp:docPr id="1" name="deviation_map_6mm.png" descr="deviation_map_6mm.png" title="deviation_map_6m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2085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Spatial deviation maps for empty dome (left) and short 6 mm dome (right). Colour indicates local calibration error in mm; centre region is most accurate.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(d) Per-point force/capacitance profile  🟩 repo data</w:t>
      </w:r>
    </w:p>
    <w:p>
      <w:pPr>
        <w:jc w:val="center"/>
      </w:pPr>
      <w:r>
        <w:drawing>
          <wp:inline distT="0" distB="0" distL="0" distR="0">
            <wp:extent cx="80962500" cy="59512200"/>
            <wp:effectExtent t="0" r="0" b="0" l="0"/>
            <wp:docPr id="1" name="force_per_point.png" descr="force_per_point.png" title="force_per_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0" cy="595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Peak force and peak capacitance per canonical point for the empty dome configuration — shows uniformity across the array.</w:t>
      </w:r>
    </w:p>
    <w:p>
      <w:r>
        <w:br w:type="page"/>
      </w:r>
    </w:p>
    <w:p>
      <w:pPr>
        <w:pBdr>
          <w:bottom w:val="single" w:color="2B6CB0" w:sz="4" w:space="1"/>
        </w:pBdr>
        <w:spacing w:after="80" w:before="280"/>
      </w:pPr>
      <w:r>
        <w:rPr>
          <w:b/>
          <w:bCs/>
          <w:color w:val="1A365D"/>
          <w:sz w:val="28"/>
          <w:szCs w:val="28"/>
        </w:rPr>
        <w:t xml:space="preserve">Figure 4  |  Touch and Multi-Touch Detection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(a) Position prediction scatter  🟧 synthetic (real model available)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38595300"/>
                  <wp:effectExtent t="0" r="0" b="0" l="0"/>
                  <wp:docPr id="1" name="position_scatter.png" descr="position_scatter.png" title="position_scat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385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43053000"/>
                  <wp:effectExtent t="0" r="0" b="0" l="0"/>
                  <wp:docPr id="1" name="depth_regression.png" descr="depth_regression.png" title="depth_regress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430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Left: predicted vs. ground-truth (x,y) contact positions for 19 canonical points — arrows show residuals. Right: depth regression (predicted vs. true depth); MAE ≈ 0.38 mm.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(b) Hexagonal activation maps — solid dome presses  🟩 repo data</w:t>
      </w:r>
    </w:p>
    <w:p>
      <w:pPr>
        <w:jc w:val="center"/>
      </w:pPr>
      <w:r>
        <w:drawing>
          <wp:inline distT="0" distB="0" distL="0" distR="0">
            <wp:extent cx="80962500" cy="77885925"/>
            <wp:effectExtent t="0" r="0" b="0" l="0"/>
            <wp:docPr id="1" name="hexmaps_solid.png" descr="hexmaps_solid.png" title="hexmaps_so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0" cy="778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Hexmap sequence showing capacitance activation patterns for sequential single-point presses across the 19-point grid (solid dome, May 28 session).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(c) Per-point response profiles  🟩 repo data</w:t>
      </w:r>
    </w:p>
    <w:p>
      <w:pPr>
        <w:jc w:val="center"/>
      </w:pPr>
      <w:r>
        <w:drawing>
          <wp:inline distT="0" distB="0" distL="0" distR="0">
            <wp:extent cx="80962500" cy="91001850"/>
            <wp:effectExtent t="0" r="0" b="0" l="0"/>
            <wp:docPr id="1" name="perpoint_solid.png" descr="perpoint_solid.png" title="perpoint_so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0" cy="910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Per-point press profiles: each subplot shows the capacitance time trace for a single electrode during its corresponding press event.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(d) Contact classifier confusion matrix  🟧 synthetic (19-class RF model trained)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38852475"/>
                  <wp:effectExtent t="0" r="0" b="0" l="0"/>
                  <wp:docPr id="1" name="confusion_matrix.png" descr="confusion_matrix.png" title="confusion_matri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388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18688050"/>
                  <wp:effectExtent t="0" r="0" b="0" l="0"/>
                  <wp:docPr id="1" name="hex_force_vs_cap.png" descr="hex_force_vs_cap.png" title="hex_force_vs_c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1868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Left: 19-class contact classifier confusion matrix (synthetic; actual model metrics to be computed on held-out set). Right: force vs. capacitance per hex cell — shows linear dynamic range.</w:t>
      </w:r>
    </w:p>
    <w:p>
      <w:r>
        <w:br w:type="page"/>
      </w:r>
    </w:p>
    <w:p>
      <w:pPr>
        <w:pBdr>
          <w:bottom w:val="single" w:color="2B6CB0" w:sz="4" w:space="1"/>
        </w:pBdr>
        <w:spacing w:after="80" w:before="280"/>
      </w:pPr>
      <w:r>
        <w:rPr>
          <w:b/>
          <w:bCs/>
          <w:color w:val="1A365D"/>
          <w:sz w:val="28"/>
          <w:szCs w:val="28"/>
        </w:rPr>
        <w:t xml:space="preserve">Figure 5  |  Multi-Modal Perception: Speed, Shape, Depth &amp; Rotation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(a) Feature vector composition  🟧 synthetic</w:t>
      </w:r>
    </w:p>
    <w:p>
      <w:pPr>
        <w:jc w:val="center"/>
      </w:pPr>
      <w:r>
        <w:drawing>
          <wp:inline distT="0" distB="0" distL="0" distR="0">
            <wp:extent cx="80962500" cy="34309050"/>
            <wp:effectExtent t="0" r="0" b="0" l="0"/>
            <wp:docPr id="1" name="feature_vector.png" descr="feature_vector.png" title="feature_v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0" cy="343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Extended 30-dimensional feature vector: 19 raw cell values + 4 spatial scalars (centroid, spread, n_active) + 7 second-order moment features (Ixx, Iyy, Ixy, θ, eccentricity, Δcx, Δcy).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(b) Sliding speed estimation  🟧 synthetic (data collection pending)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44157900"/>
                  <wp:effectExtent t="0" r="0" b="0" l="0"/>
                  <wp:docPr id="1" name="speed_estimation.png" descr="speed_estimation.png" title="speed_estim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4415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37557075"/>
                  <wp:effectExtent t="0" r="0" b="0" l="0"/>
                  <wp:docPr id="1" name="rotation_polar.png" descr="rotation_polar.png" title="rotation_pol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3755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Left: sliding speed estimation from centroid velocity features — predicted vs. true speed for 1, 2, 4 mm/s trajectories (synthetic; Protocol C data needed). Right: rotation angle estimation — polar plot of predicted vs. true TCP roll angle at 8 orientations × 10 positions (synthetic; Protocol B data needed).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(c) Shape classification  🟧 synthetic (data collection pending)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1"/>
        <w:gridCol w:w="4909"/>
      </w:tblGrid>
      <w:tr>
        <w:tc>
          <w:tcPr>
            <w:tcW w:type="dxa" w:w="40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7823775" cy="33099375"/>
                  <wp:effectExtent t="0" r="0" b="0" l="0"/>
                  <wp:docPr id="1" name="shape_confusion.png" descr="shape_confusion.png" title="shape_confus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23775" cy="3309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615225" cy="31108650"/>
                  <wp:effectExtent t="0" r="0" b="0" l="0"/>
                  <wp:docPr id="1" name="overview_solid.png" descr="overview_solid.png" title="overview_soli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15225" cy="3110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Left: shape classification confusion matrix for 5 probe types (sphere, flat disk, cylinder, edge, ring) — synthetic placeholder; Protocol C data required. Right: full-session overview (solid dome, May 28) showing multi-channel sensor dynamics during a 19-point press sequence.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(d) Hexmaps — empty dome (multi-frame context)  🟩 repo data</w:t>
      </w:r>
    </w:p>
    <w:p>
      <w:pPr>
        <w:jc w:val="center"/>
      </w:pPr>
      <w:r>
        <w:drawing>
          <wp:inline distT="0" distB="0" distL="0" distR="0">
            <wp:extent cx="80962500" cy="77885925"/>
            <wp:effectExtent t="0" r="0" b="0" l="0"/>
            <wp:docPr id="1" name="hexmaps_empty.png" descr="hexmaps_empty.png" title="hexmaps_emp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0" cy="778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Hexmap grid showing 19-cell activation patterns across sequential presses (empty dome, May 28 session). Multi-touch panels to be added once two-probe fixture data is collected.</w:t>
      </w:r>
    </w:p>
    <w:p>
      <w:r>
        <w:br w:type="page"/>
      </w:r>
    </w:p>
    <w:p>
      <w:pPr>
        <w:pBdr>
          <w:bottom w:val="single" w:color="2B6CB0" w:sz="4" w:space="1"/>
        </w:pBdr>
        <w:spacing w:after="80" w:before="280"/>
      </w:pPr>
      <w:r>
        <w:rPr>
          <w:b/>
          <w:bCs/>
          <w:color w:val="1A365D"/>
          <w:sz w:val="28"/>
          <w:szCs w:val="28"/>
        </w:rPr>
        <w:t xml:space="preserve">Figure 6  |  Shape Adaptability and Environmental Detection Demo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(a) Curved-surface activation maps  🟩 repo data (partial)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40138350"/>
                  <wp:effectExtent t="0" r="0" b="0" l="0"/>
                  <wp:docPr id="1" name="hexmaps_curved_orig.png" descr="hexmaps_curved_orig.png" title="hexmaps_curved_or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401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719500" cy="40138350"/>
                  <wp:effectExtent t="0" r="0" b="0" l="0"/>
                  <wp:docPr id="1" name="hexmaps_empty.png" descr="hexmaps_empty.png" title="hexmaps_empt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0" cy="401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Left: hexmap sequence during presses on a curved surface (test_curved session). Right: flat-surface reference session. Spatial resolution is maintained despite surface curvature.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(b) Flat vs. curved performance comparison  🟧 synthetic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1"/>
        <w:gridCol w:w="4909"/>
      </w:tblGrid>
      <w:tr>
        <w:tc>
          <w:tcPr>
            <w:tcW w:type="dxa" w:w="40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7823775" cy="32127825"/>
                  <wp:effectExtent t="0" r="0" b="0" l="0"/>
                  <wp:docPr id="1" name="flat_vs_curved.png" descr="flat_vs_curved.png" title="flat_vs_curv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23775" cy="3212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615225" cy="51273075"/>
                  <wp:effectExtent t="0" r="0" b="0" l="0"/>
                  <wp:docPr id="1" name="perpoint_curved_orig.png" descr="perpoint_curved_orig.png" title="perpoint_curved_or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15225" cy="5127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Left: bar chart comparing position MAE, depth MAE, and speed MAE between flat and curved mounting (synthetic; values from systematic comparison pending). Right: per-point press profiles on curved surface — comparable to flat surface.</w:t>
      </w:r>
    </w:p>
    <w:p>
      <w:pPr>
        <w:spacing w:after="40" w:before="60"/>
      </w:pPr>
      <w:r>
        <w:rPr>
          <w:b/>
          <w:bCs/>
          <w:color w:val="2B6CB0"/>
          <w:sz w:val="20"/>
          <w:szCs w:val="20"/>
        </w:rPr>
        <w:t xml:space="preserve">(c) Full system overview — curved session  🟩 repo data</w:t>
      </w:r>
    </w:p>
    <w:p>
      <w:pPr>
        <w:jc w:val="center"/>
      </w:pPr>
      <w:r>
        <w:drawing>
          <wp:inline distT="0" distB="0" distL="0" distR="0">
            <wp:extent cx="80962500" cy="55216425"/>
            <wp:effectExtent t="0" r="0" b="0" l="0"/>
            <wp:docPr id="1" name="overview_curved_orig.png" descr="overview_curved_orig.png" title="overview_curved_or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0" cy="552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</w:pPr>
      <w:r>
        <w:rPr>
          <w:i/>
          <w:iCs/>
          <w:color w:val="4A5568"/>
          <w:sz w:val="18"/>
          <w:szCs w:val="18"/>
        </w:rPr>
        <w:t xml:space="preserve">Full sensor channel overview during curved-surface press session — all 19 cells respond with consistent SNR.</w:t>
      </w:r>
    </w:p>
    <w:p>
      <w:pPr>
        <w:spacing w:before="300"/>
      </w:pPr>
      <w:r>
        <w:t xml:space="preserve"/>
      </w:r>
    </w:p>
    <w:p>
      <w:pPr>
        <w:pBdr>
          <w:top w:val="single" w:color="CBD5E0" w:sz="2" w:space="1"/>
        </w:pBdr>
        <w:spacing w:before="160"/>
        <w:jc w:val="center"/>
      </w:pPr>
      <w:r>
        <w:rPr>
          <w:i/>
          <w:iCs/>
          <w:color w:val="718096"/>
          <w:sz w:val="18"/>
          <w:szCs w:val="18"/>
        </w:rPr>
        <w:t xml:space="preserve">End of prototype document  —  ⚑ flags = panels where new data collection is required before submission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6CB0" w:sz="3" w:space="1"/>
      </w:pBdr>
      <w:jc w:val="right"/>
    </w:pPr>
    <w:r>
      <w:rPr>
        <w:color w:val="4A5568"/>
        <w:sz w:val="18"/>
        <w:szCs w:val="18"/>
      </w:rPr>
      <w:t xml:space="preserve">Page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3" w:space="1"/>
      </w:pBdr>
    </w:pPr>
    <w:r>
      <w:rPr>
        <w:i/>
        <w:iCs/>
        <w:color w:val="4A5568"/>
        <w:sz w:val="18"/>
        <w:szCs w:val="18"/>
      </w:rPr>
      <w:t xml:space="preserve">Star-Nose Sensor — Figure Prototypes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c5565adf7beb81692729990ddd9ec3ab71fc17.png"/><Relationship Id="rId10" Type="http://schemas.openxmlformats.org/officeDocument/2006/relationships/image" Target="media/bb0f93f837fa628972554d3a536c670b75a62c7c.png"/><Relationship Id="rId11" Type="http://schemas.openxmlformats.org/officeDocument/2006/relationships/image" Target="media/765b32186adcbe4947791284c00f654461b2883d.png"/><Relationship Id="rId12" Type="http://schemas.openxmlformats.org/officeDocument/2006/relationships/image" Target="media/64ec51cd89051f57032cdacceee17e407d74faad.png"/><Relationship Id="rId13" Type="http://schemas.openxmlformats.org/officeDocument/2006/relationships/image" Target="media/ae9936a7defee0fdc369d445e9716dfb9e24f948.png"/><Relationship Id="rId14" Type="http://schemas.openxmlformats.org/officeDocument/2006/relationships/image" Target="media/16352474f127f499ed00b41ffc01bde099fcb263.png"/><Relationship Id="rId15" Type="http://schemas.openxmlformats.org/officeDocument/2006/relationships/image" Target="media/7b90bf5720704aa523dad6de00536eaf0ff30975.png"/><Relationship Id="rId16" Type="http://schemas.openxmlformats.org/officeDocument/2006/relationships/image" Target="media/5437836a6cab2d4b65de05683e56196259b3bdf9.png"/><Relationship Id="rId17" Type="http://schemas.openxmlformats.org/officeDocument/2006/relationships/image" Target="media/74b65b9a7a3068a99397fa4a1f97332883d80ef8.png"/><Relationship Id="rId18" Type="http://schemas.openxmlformats.org/officeDocument/2006/relationships/image" Target="media/158fc00a6b16ebb91b6110a88587dc0f624dda06.png"/><Relationship Id="rId19" Type="http://schemas.openxmlformats.org/officeDocument/2006/relationships/image" Target="media/69406fdf4b6519d9c503b285f35c967af3a3912e.png"/><Relationship Id="rId20" Type="http://schemas.openxmlformats.org/officeDocument/2006/relationships/image" Target="media/52eb05d2757b218388e687fba9703aae7368cb62.png"/><Relationship Id="rId21" Type="http://schemas.openxmlformats.org/officeDocument/2006/relationships/image" Target="media/345afb0708d12afbf960c130362f79ed4e84ee0e.png"/><Relationship Id="rId22" Type="http://schemas.openxmlformats.org/officeDocument/2006/relationships/image" Target="media/3b7ba24287375be624813b58196283c75e82caf3.png"/><Relationship Id="rId23" Type="http://schemas.openxmlformats.org/officeDocument/2006/relationships/image" Target="media/8247585a6089db228f77d8371aba58326e24245b.png"/><Relationship Id="rId24" Type="http://schemas.openxmlformats.org/officeDocument/2006/relationships/image" Target="media/ad46d2c28288db2c93a87ffe35bab62542a96a2c.png"/><Relationship Id="rId25" Type="http://schemas.openxmlformats.org/officeDocument/2006/relationships/image" Target="media/7e3694c9f6c4376f54fe2b11eebb5470e943ef7c.png"/><Relationship Id="rId26" Type="http://schemas.openxmlformats.org/officeDocument/2006/relationships/image" Target="media/2558ca8a450ebb7b8cb6094c995d4a9d984ff26f.png"/><Relationship Id="rId27" Type="http://schemas.openxmlformats.org/officeDocument/2006/relationships/image" Target="media/553b5270a82ad84ebfdabad23f07885bd6676062.png"/><Relationship Id="rId28" Type="http://schemas.openxmlformats.org/officeDocument/2006/relationships/image" Target="media/1409ddcac47fe7b63874bdd666f4faeec2e0cc27.png"/><Relationship Id="rId29" Type="http://schemas.openxmlformats.org/officeDocument/2006/relationships/image" Target="media/9d55854a3fe13786e2c651c629b56e31a9bda9e6.png"/><Relationship Id="rId30" Type="http://schemas.openxmlformats.org/officeDocument/2006/relationships/image" Target="media/2a98647abf1aebca0edf801577dd5528845626ab.png"/><Relationship Id="rId31" Type="http://schemas.openxmlformats.org/officeDocument/2006/relationships/image" Target="media/a86ef0317fcbcdbca6f20a1327ae50a2e4e56c0e.png"/><Relationship Id="rId32" Type="http://schemas.openxmlformats.org/officeDocument/2006/relationships/image" Target="media/62875a1d781b8f7e9e72b1830961bf636274abd8.png"/><Relationship Id="rId33" Type="http://schemas.openxmlformats.org/officeDocument/2006/relationships/image" Target="media/f711fa4ea827d2f94391edfd4ebe081a63163b91.png"/><Relationship Id="rId34" Type="http://schemas.openxmlformats.org/officeDocument/2006/relationships/image" Target="media/2a56234e40cd8f36ac2b676eb0b3b4177d053d02.png"/><Relationship Id="rId35" Type="http://schemas.openxmlformats.org/officeDocument/2006/relationships/image" Target="media/3a66670a5b5ea9321b227f1f0070c0711fb41304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2026-06-03T20:09:15.374Z</dcterms:created>
  <dcterms:modified xsi:type="dcterms:W3CDTF">2026-06-03T20:09:15.374Z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