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5839252"/>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074D421C" w14:textId="2E990D70" w:rsidR="00381ADA" w:rsidRDefault="00381ADA">
          <w:r>
            <w:rPr>
              <w:noProof/>
            </w:rPr>
            <mc:AlternateContent>
              <mc:Choice Requires="wps">
                <w:drawing>
                  <wp:anchor distT="0" distB="0" distL="114300" distR="114300" simplePos="0" relativeHeight="251661312" behindDoc="0" locked="0" layoutInCell="1" allowOverlap="1" wp14:anchorId="39EDF394" wp14:editId="78A6529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79124851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B1427C" w14:textId="30D7552E" w:rsidR="00381ADA" w:rsidRDefault="00381ADA">
                                    <w:pPr>
                                      <w:pStyle w:val="NoSpacing"/>
                                      <w:spacing w:after="480"/>
                                      <w:rPr>
                                        <w:i/>
                                        <w:color w:val="262626" w:themeColor="text1" w:themeTint="D9"/>
                                        <w:sz w:val="32"/>
                                        <w:szCs w:val="32"/>
                                      </w:rPr>
                                    </w:pPr>
                                    <w:r>
                                      <w:rPr>
                                        <w:i/>
                                        <w:color w:val="262626" w:themeColor="text1" w:themeTint="D9"/>
                                        <w:sz w:val="32"/>
                                        <w:szCs w:val="32"/>
                                      </w:rPr>
                                      <w:t xml:space="preserve">Jonas </w:t>
                                    </w:r>
                                    <w:proofErr w:type="spellStart"/>
                                    <w:r>
                                      <w:rPr>
                                        <w:i/>
                                        <w:color w:val="262626" w:themeColor="text1" w:themeTint="D9"/>
                                        <w:sz w:val="32"/>
                                        <w:szCs w:val="32"/>
                                      </w:rPr>
                                      <w:t>Kobberø</w:t>
                                    </w:r>
                                    <w:proofErr w:type="spellEnd"/>
                                  </w:p>
                                </w:sdtContent>
                              </w:sdt>
                              <w:p w14:paraId="2350868F" w14:textId="3DECF668" w:rsidR="00381ADA" w:rsidRDefault="00381ADA">
                                <w:pPr>
                                  <w:pStyle w:val="NoSpacing"/>
                                  <w:rPr>
                                    <w:i/>
                                    <w:color w:val="262626" w:themeColor="text1" w:themeTint="D9"/>
                                    <w:sz w:val="26"/>
                                    <w:szCs w:val="26"/>
                                  </w:rPr>
                                </w:pPr>
                                <w:sdt>
                                  <w:sdtPr>
                                    <w:rPr>
                                      <w:i/>
                                      <w:color w:val="262626" w:themeColor="text1" w:themeTint="D9"/>
                                      <w:sz w:val="26"/>
                                      <w:szCs w:val="26"/>
                                    </w:rPr>
                                    <w:alias w:val="Company"/>
                                    <w:tag w:val=""/>
                                    <w:id w:val="1522674463"/>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Fysik</w:t>
                                    </w:r>
                                    <w:proofErr w:type="spellEnd"/>
                                    <w:r>
                                      <w:rPr>
                                        <w:i/>
                                        <w:color w:val="262626" w:themeColor="text1" w:themeTint="D9"/>
                                        <w:sz w:val="26"/>
                                        <w:szCs w:val="26"/>
                                      </w:rPr>
                                      <w:t xml:space="preserve"> B</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1815474654"/>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BA11</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9EDF394"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79124851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B1427C" w14:textId="30D7552E" w:rsidR="00381ADA" w:rsidRDefault="00381ADA">
                              <w:pPr>
                                <w:pStyle w:val="NoSpacing"/>
                                <w:spacing w:after="480"/>
                                <w:rPr>
                                  <w:i/>
                                  <w:color w:val="262626" w:themeColor="text1" w:themeTint="D9"/>
                                  <w:sz w:val="32"/>
                                  <w:szCs w:val="32"/>
                                </w:rPr>
                              </w:pPr>
                              <w:r>
                                <w:rPr>
                                  <w:i/>
                                  <w:color w:val="262626" w:themeColor="text1" w:themeTint="D9"/>
                                  <w:sz w:val="32"/>
                                  <w:szCs w:val="32"/>
                                </w:rPr>
                                <w:t xml:space="preserve">Jonas </w:t>
                              </w:r>
                              <w:proofErr w:type="spellStart"/>
                              <w:r>
                                <w:rPr>
                                  <w:i/>
                                  <w:color w:val="262626" w:themeColor="text1" w:themeTint="D9"/>
                                  <w:sz w:val="32"/>
                                  <w:szCs w:val="32"/>
                                </w:rPr>
                                <w:t>Kobberø</w:t>
                              </w:r>
                              <w:proofErr w:type="spellEnd"/>
                            </w:p>
                          </w:sdtContent>
                        </w:sdt>
                        <w:p w14:paraId="2350868F" w14:textId="3DECF668" w:rsidR="00381ADA" w:rsidRDefault="00381ADA">
                          <w:pPr>
                            <w:pStyle w:val="NoSpacing"/>
                            <w:rPr>
                              <w:i/>
                              <w:color w:val="262626" w:themeColor="text1" w:themeTint="D9"/>
                              <w:sz w:val="26"/>
                              <w:szCs w:val="26"/>
                            </w:rPr>
                          </w:pPr>
                          <w:sdt>
                            <w:sdtPr>
                              <w:rPr>
                                <w:i/>
                                <w:color w:val="262626" w:themeColor="text1" w:themeTint="D9"/>
                                <w:sz w:val="26"/>
                                <w:szCs w:val="26"/>
                              </w:rPr>
                              <w:alias w:val="Company"/>
                              <w:tag w:val=""/>
                              <w:id w:val="1522674463"/>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Fysik</w:t>
                              </w:r>
                              <w:proofErr w:type="spellEnd"/>
                              <w:r>
                                <w:rPr>
                                  <w:i/>
                                  <w:color w:val="262626" w:themeColor="text1" w:themeTint="D9"/>
                                  <w:sz w:val="26"/>
                                  <w:szCs w:val="26"/>
                                </w:rPr>
                                <w:t xml:space="preserve"> B</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1815474654"/>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BA11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FBABB21" wp14:editId="59A99FD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EA391C0"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B66573E" wp14:editId="002DD8B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960646443"/>
                                  <w:dataBinding w:prefixMappings="xmlns:ns0='http://purl.org/dc/elements/1.1/' xmlns:ns1='http://schemas.openxmlformats.org/package/2006/metadata/core-properties' " w:xpath="/ns1:coreProperties[1]/ns0:title[1]" w:storeItemID="{6C3C8BC8-F283-45AE-878A-BAB7291924A1}"/>
                                  <w15:appearance w15:val="hidden"/>
                                  <w:text/>
                                </w:sdtPr>
                                <w:sdtContent>
                                  <w:p w14:paraId="32AF4ACF" w14:textId="6D1AE00B" w:rsidR="00381ADA" w:rsidRDefault="00381AD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Olies densitet</w:t>
                                    </w:r>
                                  </w:p>
                                </w:sdtContent>
                              </w:sdt>
                              <w:sdt>
                                <w:sdtPr>
                                  <w:rPr>
                                    <w:color w:val="262626" w:themeColor="text1" w:themeTint="D9"/>
                                    <w:sz w:val="36"/>
                                    <w:szCs w:val="36"/>
                                  </w:rPr>
                                  <w:alias w:val="Subtitle"/>
                                  <w:tag w:val=""/>
                                  <w:id w:val="-192147735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9D5B055" w14:textId="41952104" w:rsidR="00381ADA" w:rsidRDefault="00381ADA">
                                    <w:pPr>
                                      <w:pStyle w:val="NoSpacing"/>
                                      <w:rPr>
                                        <w:i/>
                                        <w:color w:val="262626" w:themeColor="text1" w:themeTint="D9"/>
                                        <w:sz w:val="36"/>
                                        <w:szCs w:val="36"/>
                                      </w:rPr>
                                    </w:pPr>
                                    <w:proofErr w:type="spellStart"/>
                                    <w:r>
                                      <w:rPr>
                                        <w:color w:val="262626" w:themeColor="text1" w:themeTint="D9"/>
                                        <w:sz w:val="36"/>
                                        <w:szCs w:val="36"/>
                                      </w:rPr>
                                      <w:t>Forsøg</w:t>
                                    </w:r>
                                    <w:proofErr w:type="spellEnd"/>
                                    <w:r>
                                      <w:rPr>
                                        <w:color w:val="262626" w:themeColor="text1" w:themeTint="D9"/>
                                        <w:sz w:val="36"/>
                                        <w:szCs w:val="36"/>
                                      </w:rPr>
                                      <w:t xml:space="preserve"> 1</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B66573E" id="Text_x0020_Box_x0020_38" o:spid="_x0000_s1027" type="#_x0000_t202" alt="Title: Title and subtitle" style="position:absolute;margin-left:0;margin-top:0;width:529.55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960646443"/>
                            <w:dataBinding w:prefixMappings="xmlns:ns0='http://purl.org/dc/elements/1.1/' xmlns:ns1='http://schemas.openxmlformats.org/package/2006/metadata/core-properties' " w:xpath="/ns1:coreProperties[1]/ns0:title[1]" w:storeItemID="{6C3C8BC8-F283-45AE-878A-BAB7291924A1}"/>
                            <w15:appearance w15:val="hidden"/>
                            <w:text/>
                          </w:sdtPr>
                          <w:sdtContent>
                            <w:p w14:paraId="32AF4ACF" w14:textId="6D1AE00B" w:rsidR="00381ADA" w:rsidRDefault="00381ADA">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Olies densitet</w:t>
                              </w:r>
                            </w:p>
                          </w:sdtContent>
                        </w:sdt>
                        <w:sdt>
                          <w:sdtPr>
                            <w:rPr>
                              <w:color w:val="262626" w:themeColor="text1" w:themeTint="D9"/>
                              <w:sz w:val="36"/>
                              <w:szCs w:val="36"/>
                            </w:rPr>
                            <w:alias w:val="Subtitle"/>
                            <w:tag w:val=""/>
                            <w:id w:val="-192147735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9D5B055" w14:textId="41952104" w:rsidR="00381ADA" w:rsidRDefault="00381ADA">
                              <w:pPr>
                                <w:pStyle w:val="NoSpacing"/>
                                <w:rPr>
                                  <w:i/>
                                  <w:color w:val="262626" w:themeColor="text1" w:themeTint="D9"/>
                                  <w:sz w:val="36"/>
                                  <w:szCs w:val="36"/>
                                </w:rPr>
                              </w:pPr>
                              <w:proofErr w:type="spellStart"/>
                              <w:r>
                                <w:rPr>
                                  <w:color w:val="262626" w:themeColor="text1" w:themeTint="D9"/>
                                  <w:sz w:val="36"/>
                                  <w:szCs w:val="36"/>
                                </w:rPr>
                                <w:t>Forsøg</w:t>
                              </w:r>
                              <w:proofErr w:type="spellEnd"/>
                              <w:r>
                                <w:rPr>
                                  <w:color w:val="262626" w:themeColor="text1" w:themeTint="D9"/>
                                  <w:sz w:val="36"/>
                                  <w:szCs w:val="36"/>
                                </w:rPr>
                                <w:t xml:space="preserve"> 1</w:t>
                              </w:r>
                            </w:p>
                          </w:sdtContent>
                        </w:sdt>
                      </w:txbxContent>
                    </v:textbox>
                    <w10:wrap anchorx="page" anchory="page"/>
                  </v:shape>
                </w:pict>
              </mc:Fallback>
            </mc:AlternateContent>
          </w:r>
        </w:p>
        <w:p w14:paraId="1AA585C4" w14:textId="77777777" w:rsidR="0096256F" w:rsidRDefault="00381ADA" w:rsidP="0096256F">
          <w:pPr>
            <w:pStyle w:val="Heading1"/>
          </w:pPr>
          <w:r>
            <w:br w:type="page"/>
          </w:r>
          <w:r w:rsidR="0096256F">
            <w:lastRenderedPageBreak/>
            <w:t>Formål</w:t>
          </w:r>
        </w:p>
        <w:p w14:paraId="14F69CB8" w14:textId="2BCFCF94" w:rsidR="0096256F" w:rsidRDefault="00517764" w:rsidP="0096256F">
          <w:r>
            <w:t>Dette forsøg har til formål at eftervise</w:t>
          </w:r>
          <w:r w:rsidR="00E62412">
            <w:t xml:space="preserve"> densiteten af raps</w:t>
          </w:r>
          <w:r>
            <w:t xml:space="preserve">olie. </w:t>
          </w:r>
        </w:p>
        <w:p w14:paraId="6FD9E283" w14:textId="02620C0A" w:rsidR="00517764" w:rsidRPr="00517764" w:rsidRDefault="0096256F" w:rsidP="00517764">
          <w:pPr>
            <w:pStyle w:val="Heading1"/>
          </w:pPr>
          <w:r>
            <w:t>Teori</w:t>
          </w:r>
        </w:p>
        <w:p w14:paraId="23853D38" w14:textId="2F297E1D" w:rsidR="0096256F" w:rsidRDefault="008C38D7" w:rsidP="0096256F">
          <w:r>
            <w:t>Densitet er forholdet mellem et stofs masse og dets vægt. Derfor ser ligningen for at beregne densitet ud på følgende måde:</w:t>
          </w:r>
        </w:p>
        <w:p w14:paraId="06EA8F02" w14:textId="479B5E2E" w:rsidR="008C38D7" w:rsidRPr="008C38D7" w:rsidRDefault="008C38D7" w:rsidP="0096256F">
          <w:pPr>
            <w:rPr>
              <w:rFonts w:eastAsiaTheme="minorEastAsia"/>
            </w:rPr>
          </w:pPr>
          <m:oMathPara>
            <m:oMath>
              <m:r>
                <w:rPr>
                  <w:rFonts w:ascii="Cambria Math" w:hAnsi="Cambria Math"/>
                </w:rPr>
                <m:t>ρ=</m:t>
              </m:r>
              <m:f>
                <m:fPr>
                  <m:ctrlPr>
                    <w:rPr>
                      <w:rFonts w:ascii="Cambria Math" w:hAnsi="Cambria Math"/>
                      <w:i/>
                    </w:rPr>
                  </m:ctrlPr>
                </m:fPr>
                <m:num>
                  <m:r>
                    <w:rPr>
                      <w:rFonts w:ascii="Cambria Math" w:hAnsi="Cambria Math"/>
                    </w:rPr>
                    <m:t>m</m:t>
                  </m:r>
                </m:num>
                <m:den>
                  <m:r>
                    <w:rPr>
                      <w:rFonts w:ascii="Cambria Math" w:hAnsi="Cambria Math"/>
                    </w:rPr>
                    <m:t>V</m:t>
                  </m:r>
                </m:den>
              </m:f>
            </m:oMath>
          </m:oMathPara>
        </w:p>
        <w:p w14:paraId="69D243F5" w14:textId="77777777" w:rsidR="008C38D7" w:rsidRDefault="008C38D7" w:rsidP="0096256F">
          <w:pPr>
            <w:rPr>
              <w:rFonts w:eastAsiaTheme="minorEastAsia"/>
            </w:rPr>
          </w:pPr>
        </w:p>
        <w:p w14:paraId="2D309915" w14:textId="4907B4B0" w:rsidR="008C38D7" w:rsidRDefault="008C38D7" w:rsidP="0096256F">
          <w:pPr>
            <w:rPr>
              <w:rFonts w:eastAsiaTheme="minorEastAsia"/>
            </w:rPr>
          </w:pPr>
          <w:r>
            <w:rPr>
              <w:rFonts w:eastAsiaTheme="minorEastAsia"/>
            </w:rPr>
            <w:t xml:space="preserve">I ovenstående formel </w:t>
          </w:r>
          <w:r w:rsidR="007F21DE">
            <w:rPr>
              <w:rFonts w:eastAsiaTheme="minorEastAsia"/>
            </w:rPr>
            <w:t xml:space="preserve">er </w:t>
          </w:r>
          <w:r>
            <w:rPr>
              <w:rFonts w:eastAsiaTheme="minorEastAsia"/>
            </w:rPr>
            <w:sym w:font="Symbol" w:char="F072"/>
          </w:r>
          <w:r>
            <w:rPr>
              <w:rFonts w:eastAsiaTheme="minorEastAsia"/>
            </w:rPr>
            <w:t xml:space="preserve"> = densiteten, m = massen af stoffet samt at V = volumen af stoffet. </w:t>
          </w:r>
        </w:p>
        <w:p w14:paraId="2E78E35A" w14:textId="77777777" w:rsidR="008C38D7" w:rsidRDefault="008C38D7" w:rsidP="0096256F">
          <w:pPr>
            <w:rPr>
              <w:rFonts w:eastAsiaTheme="minorEastAsia"/>
            </w:rPr>
          </w:pPr>
        </w:p>
        <w:p w14:paraId="076A6AAC" w14:textId="18FDEAD8" w:rsidR="008C38D7" w:rsidRDefault="008C38D7" w:rsidP="0096256F">
          <w:pPr>
            <w:rPr>
              <w:rFonts w:eastAsiaTheme="minorEastAsia"/>
            </w:rPr>
          </w:pPr>
          <w:r>
            <w:rPr>
              <w:rFonts w:eastAsiaTheme="minorEastAsia"/>
            </w:rPr>
            <w:t>I dette forsøg bruge</w:t>
          </w:r>
          <w:r w:rsidR="003E7B5D">
            <w:rPr>
              <w:rFonts w:eastAsiaTheme="minorEastAsia"/>
            </w:rPr>
            <w:t>s</w:t>
          </w:r>
          <w:r>
            <w:rPr>
              <w:rFonts w:eastAsiaTheme="minorEastAsia"/>
            </w:rPr>
            <w:t xml:space="preserve"> følgende enheder, da de normale SI enheder ville blive meget små: </w:t>
          </w:r>
        </w:p>
        <w:p w14:paraId="4154C39D" w14:textId="77777777" w:rsidR="00507268" w:rsidRDefault="00507268" w:rsidP="0096256F">
          <w:pPr>
            <w:rPr>
              <w:rFonts w:eastAsiaTheme="minorEastAsia"/>
            </w:rPr>
          </w:pPr>
        </w:p>
        <w:tbl>
          <w:tblPr>
            <w:tblStyle w:val="TableGrid"/>
            <w:tblW w:w="0" w:type="auto"/>
            <w:jc w:val="center"/>
            <w:tblLook w:val="04A0" w:firstRow="1" w:lastRow="0" w:firstColumn="1" w:lastColumn="0" w:noHBand="0" w:noVBand="1"/>
          </w:tblPr>
          <w:tblGrid>
            <w:gridCol w:w="2547"/>
            <w:gridCol w:w="2268"/>
          </w:tblGrid>
          <w:tr w:rsidR="008C38D7" w14:paraId="48A39342" w14:textId="77777777" w:rsidTr="008C38D7">
            <w:trPr>
              <w:jc w:val="center"/>
            </w:trPr>
            <w:tc>
              <w:tcPr>
                <w:tcW w:w="2547" w:type="dxa"/>
              </w:tcPr>
              <w:p w14:paraId="74DB17EB" w14:textId="4B8DC8B5" w:rsidR="008C38D7" w:rsidRDefault="008C38D7" w:rsidP="0096256F">
                <w:pPr>
                  <w:rPr>
                    <w:rFonts w:eastAsiaTheme="minorEastAsia"/>
                  </w:rPr>
                </w:pPr>
                <m:oMathPara>
                  <m:oMath>
                    <m:r>
                      <w:rPr>
                        <w:rFonts w:ascii="Cambria Math" w:eastAsiaTheme="minorEastAsia" w:hAnsi="Cambria Math"/>
                      </w:rPr>
                      <m:t>Symbol</m:t>
                    </m:r>
                  </m:oMath>
                </m:oMathPara>
              </w:p>
            </w:tc>
            <w:tc>
              <w:tcPr>
                <w:tcW w:w="2268" w:type="dxa"/>
              </w:tcPr>
              <w:p w14:paraId="143176B4" w14:textId="1F9716B1" w:rsidR="008C38D7" w:rsidRDefault="008C38D7" w:rsidP="0096256F">
                <w:pPr>
                  <w:rPr>
                    <w:rFonts w:eastAsiaTheme="minorEastAsia"/>
                  </w:rPr>
                </w:pPr>
                <m:oMathPara>
                  <m:oMath>
                    <m:r>
                      <w:rPr>
                        <w:rFonts w:ascii="Cambria Math" w:hAnsi="Cambria Math"/>
                      </w:rPr>
                      <m:t>Enhed</m:t>
                    </m:r>
                  </m:oMath>
                </m:oMathPara>
              </w:p>
            </w:tc>
          </w:tr>
          <w:tr w:rsidR="008C38D7" w14:paraId="543978A5" w14:textId="77777777" w:rsidTr="008C38D7">
            <w:trPr>
              <w:jc w:val="center"/>
            </w:trPr>
            <w:tc>
              <w:tcPr>
                <w:tcW w:w="2547" w:type="dxa"/>
              </w:tcPr>
              <w:p w14:paraId="465529D6" w14:textId="79F91E76" w:rsidR="008C38D7" w:rsidRDefault="008C38D7" w:rsidP="0096256F">
                <w:pPr>
                  <w:rPr>
                    <w:rFonts w:eastAsiaTheme="minorEastAsia"/>
                  </w:rPr>
                </w:pPr>
                <m:oMathPara>
                  <m:oMath>
                    <m:r>
                      <w:rPr>
                        <w:rFonts w:ascii="Cambria Math" w:hAnsi="Cambria Math"/>
                      </w:rPr>
                      <m:t>ρ</m:t>
                    </m:r>
                  </m:oMath>
                </m:oMathPara>
              </w:p>
            </w:tc>
            <w:tc>
              <w:tcPr>
                <w:tcW w:w="2268" w:type="dxa"/>
              </w:tcPr>
              <w:p w14:paraId="4C32CEEF" w14:textId="0BDC2D64" w:rsidR="008C38D7" w:rsidRDefault="008C38D7" w:rsidP="008C38D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mL</m:t>
                        </m:r>
                      </m:den>
                    </m:f>
                  </m:oMath>
                </m:oMathPara>
              </w:p>
            </w:tc>
          </w:tr>
          <w:tr w:rsidR="008C38D7" w14:paraId="0B0A093A" w14:textId="77777777" w:rsidTr="008C38D7">
            <w:trPr>
              <w:jc w:val="center"/>
            </w:trPr>
            <w:tc>
              <w:tcPr>
                <w:tcW w:w="2547" w:type="dxa"/>
              </w:tcPr>
              <w:p w14:paraId="3BD63945" w14:textId="5CD39F9A" w:rsidR="008C38D7" w:rsidRDefault="008C38D7" w:rsidP="0096256F">
                <w:pPr>
                  <w:rPr>
                    <w:rFonts w:eastAsiaTheme="minorEastAsia"/>
                  </w:rPr>
                </w:pPr>
                <m:oMathPara>
                  <m:oMath>
                    <m:r>
                      <w:rPr>
                        <w:rFonts w:ascii="Cambria Math" w:hAnsi="Cambria Math"/>
                      </w:rPr>
                      <m:t>m</m:t>
                    </m:r>
                  </m:oMath>
                </m:oMathPara>
              </w:p>
            </w:tc>
            <w:tc>
              <w:tcPr>
                <w:tcW w:w="2268" w:type="dxa"/>
              </w:tcPr>
              <w:p w14:paraId="245FD20D" w14:textId="1728DA89" w:rsidR="008C38D7" w:rsidRDefault="008C38D7" w:rsidP="0096256F">
                <w:pPr>
                  <w:rPr>
                    <w:rFonts w:eastAsiaTheme="minorEastAsia"/>
                  </w:rPr>
                </w:pPr>
                <m:oMathPara>
                  <m:oMath>
                    <m:r>
                      <w:rPr>
                        <w:rFonts w:ascii="Cambria Math" w:hAnsi="Cambria Math"/>
                      </w:rPr>
                      <m:t>g</m:t>
                    </m:r>
                  </m:oMath>
                </m:oMathPara>
              </w:p>
            </w:tc>
          </w:tr>
          <w:tr w:rsidR="008C38D7" w14:paraId="26A68B29" w14:textId="77777777" w:rsidTr="008C38D7">
            <w:trPr>
              <w:jc w:val="center"/>
            </w:trPr>
            <w:tc>
              <w:tcPr>
                <w:tcW w:w="2547" w:type="dxa"/>
              </w:tcPr>
              <w:p w14:paraId="2925867E" w14:textId="4C64F494" w:rsidR="008C38D7" w:rsidRDefault="008C38D7" w:rsidP="008C38D7">
                <w:pPr>
                  <w:jc w:val="center"/>
                  <w:rPr>
                    <w:rFonts w:ascii="Calibri" w:eastAsia="Times New Roman" w:hAnsi="Calibri" w:cs="Times New Roman"/>
                  </w:rPr>
                </w:pPr>
                <w:r>
                  <w:rPr>
                    <w:rFonts w:ascii="Calibri" w:eastAsia="Times New Roman" w:hAnsi="Calibri" w:cs="Times New Roman"/>
                  </w:rPr>
                  <w:t>V</w:t>
                </w:r>
              </w:p>
            </w:tc>
            <w:tc>
              <w:tcPr>
                <w:tcW w:w="2268" w:type="dxa"/>
              </w:tcPr>
              <w:p w14:paraId="1FA561D2" w14:textId="7EDECF66" w:rsidR="008C38D7" w:rsidRDefault="008C38D7" w:rsidP="008C38D7">
                <w:pPr>
                  <w:jc w:val="center"/>
                  <w:rPr>
                    <w:rFonts w:ascii="Calibri" w:eastAsia="Times New Roman" w:hAnsi="Calibri" w:cs="Times New Roman"/>
                  </w:rPr>
                </w:pPr>
                <w:proofErr w:type="spellStart"/>
                <w:r>
                  <w:rPr>
                    <w:rFonts w:ascii="Calibri" w:eastAsia="Times New Roman" w:hAnsi="Calibri" w:cs="Times New Roman"/>
                  </w:rPr>
                  <w:t>mL</w:t>
                </w:r>
                <w:proofErr w:type="spellEnd"/>
              </w:p>
            </w:tc>
          </w:tr>
        </w:tbl>
        <w:p w14:paraId="188B0EFF" w14:textId="77777777" w:rsidR="008C38D7" w:rsidRPr="008C38D7" w:rsidRDefault="008C38D7" w:rsidP="0096256F">
          <w:pPr>
            <w:rPr>
              <w:rFonts w:eastAsiaTheme="minorEastAsia"/>
            </w:rPr>
          </w:pPr>
        </w:p>
        <w:p w14:paraId="04C4D72D" w14:textId="77777777" w:rsidR="0096256F" w:rsidRDefault="0096256F" w:rsidP="0096256F">
          <w:pPr>
            <w:pStyle w:val="Heading1"/>
          </w:pPr>
          <w:r>
            <w:t>Udstyr</w:t>
          </w:r>
        </w:p>
        <w:p w14:paraId="5D260D44" w14:textId="7DB0069D" w:rsidR="00945A54" w:rsidRDefault="00945A54" w:rsidP="00541D2E">
          <w:r>
            <w:t>Til dette forsøg skal vi bruge de fire ting der er listet herunder:</w:t>
          </w:r>
        </w:p>
        <w:p w14:paraId="601AC2CC" w14:textId="4461DD9C" w:rsidR="00945A54" w:rsidRDefault="00945A54" w:rsidP="00945A54">
          <w:pPr>
            <w:pStyle w:val="ListParagraph"/>
            <w:numPr>
              <w:ilvl w:val="0"/>
              <w:numId w:val="1"/>
            </w:numPr>
          </w:pPr>
          <w:r>
            <w:t>Måleglas på mindst 100mL</w:t>
          </w:r>
        </w:p>
        <w:p w14:paraId="41D9320C" w14:textId="17DE5714" w:rsidR="00945A54" w:rsidRDefault="00945A54" w:rsidP="00945A54">
          <w:pPr>
            <w:pStyle w:val="ListParagraph"/>
            <w:numPr>
              <w:ilvl w:val="0"/>
              <w:numId w:val="1"/>
            </w:numPr>
          </w:pPr>
          <w:r>
            <w:t>Minimum 100mL rapsolie</w:t>
          </w:r>
        </w:p>
        <w:p w14:paraId="47BF566F" w14:textId="07CE73B6" w:rsidR="00945A54" w:rsidRDefault="00945A54" w:rsidP="00945A54">
          <w:pPr>
            <w:pStyle w:val="ListParagraph"/>
            <w:numPr>
              <w:ilvl w:val="0"/>
              <w:numId w:val="1"/>
            </w:numPr>
          </w:pPr>
          <w:r>
            <w:t>En vægt</w:t>
          </w:r>
        </w:p>
        <w:p w14:paraId="1771E798" w14:textId="3F342930" w:rsidR="00945A54" w:rsidRDefault="00945A54" w:rsidP="00945A54">
          <w:pPr>
            <w:pStyle w:val="ListParagraph"/>
            <w:numPr>
              <w:ilvl w:val="0"/>
              <w:numId w:val="1"/>
            </w:numPr>
          </w:pPr>
          <w:r>
            <w:t>En tragt</w:t>
          </w:r>
        </w:p>
        <w:p w14:paraId="4E4D2C32" w14:textId="7A26DD5B" w:rsidR="0096256F" w:rsidRDefault="00945A54" w:rsidP="0096256F">
          <w:r>
            <w:t>Tragten kan strengt talt undværes, m</w:t>
          </w:r>
          <w:r w:rsidR="00517764">
            <w:t xml:space="preserve">en den gør præcis hældning af </w:t>
          </w:r>
          <w:r w:rsidR="00E62412">
            <w:t>raps</w:t>
          </w:r>
          <w:r w:rsidR="00517764">
            <w:t xml:space="preserve">olien </w:t>
          </w:r>
          <w:r w:rsidR="000B4401">
            <w:t>meget lettere</w:t>
          </w:r>
          <w:r w:rsidR="00517764">
            <w:t xml:space="preserve">. </w:t>
          </w:r>
        </w:p>
        <w:p w14:paraId="61C33A82" w14:textId="77777777" w:rsidR="0096256F" w:rsidRDefault="0096256F" w:rsidP="0096256F">
          <w:pPr>
            <w:pStyle w:val="Heading1"/>
          </w:pPr>
          <w:r>
            <w:t>Fremgangsmåde</w:t>
          </w:r>
        </w:p>
        <w:p w14:paraId="6F892630" w14:textId="20FC128B" w:rsidR="0096256F" w:rsidRDefault="0004495C" w:rsidP="0096256F">
          <w:r>
            <w:t xml:space="preserve">Det er vigtigt at starte med et tomt og helt tørt måleglas. </w:t>
          </w:r>
          <w:r w:rsidR="00701F37">
            <w:t xml:space="preserve">Dette placeres på vægten og vægten af det tomme glas noteres. Der hældes nu </w:t>
          </w:r>
          <w:r w:rsidR="00E62412">
            <w:t>rapsolie</w:t>
          </w:r>
          <w:r w:rsidR="00E62412">
            <w:t xml:space="preserve"> </w:t>
          </w:r>
          <w:r w:rsidR="00701F37">
            <w:t xml:space="preserve">i indtil der er 10mL i glasset. Herefter aflæses vægten, og det tjekkes om der er hældt præcist 10mL i. Er der ikke det noteres hvor meget </w:t>
          </w:r>
          <w:r w:rsidR="00E62412">
            <w:t>rapsolie</w:t>
          </w:r>
          <w:r w:rsidR="00E62412">
            <w:t xml:space="preserve"> </w:t>
          </w:r>
          <w:r w:rsidR="00DC0F75">
            <w:t xml:space="preserve">der faktisk er hældt i glasset. Nu hældes der igen 10mL oveni det andet </w:t>
          </w:r>
          <w:r w:rsidR="00E62412">
            <w:t>rapsolie</w:t>
          </w:r>
          <w:r w:rsidR="00E62412">
            <w:t xml:space="preserve"> </w:t>
          </w:r>
          <w:r w:rsidR="00DC0F75">
            <w:t xml:space="preserve">og den nye vægt aflæses. Der skal nu tjekkes om der er 20mL i glasset. En eventuel forskel noteres ned. Dette gentages til man har foretaget otte målinger med </w:t>
          </w:r>
          <w:r w:rsidR="00E62412">
            <w:t>rapsolie</w:t>
          </w:r>
          <w:r w:rsidR="00E62412">
            <w:t xml:space="preserve"> </w:t>
          </w:r>
          <w:r w:rsidR="00DC0F75">
            <w:t xml:space="preserve">i glasset. </w:t>
          </w:r>
        </w:p>
        <w:p w14:paraId="36B7269E" w14:textId="77777777" w:rsidR="0096256F" w:rsidRDefault="0096256F" w:rsidP="0096256F">
          <w:pPr>
            <w:pStyle w:val="Heading1"/>
          </w:pPr>
          <w:r>
            <w:t>Resultater</w:t>
          </w:r>
        </w:p>
        <w:p w14:paraId="06FEE04E" w14:textId="6878124C" w:rsidR="00517764" w:rsidRDefault="00517764" w:rsidP="00517764">
          <w:r>
            <w:t>De otte aflæsninger gav resultaterne der ses herunder</w:t>
          </w:r>
          <w:r w:rsidR="00B803FC">
            <w:t xml:space="preserve">. Den totale masse af glas samt </w:t>
          </w:r>
          <w:r w:rsidR="00E62412">
            <w:t>rapsolie</w:t>
          </w:r>
          <w:r w:rsidR="00E62412">
            <w:t xml:space="preserve"> </w:t>
          </w:r>
          <w:r w:rsidR="00B803FC">
            <w:t xml:space="preserve">skrives </w:t>
          </w:r>
          <w:proofErr w:type="spellStart"/>
          <w:r w:rsidR="00B803FC">
            <w:t>m</w:t>
          </w:r>
          <w:r w:rsidR="00B803FC">
            <w:rPr>
              <w:vertAlign w:val="subscript"/>
            </w:rPr>
            <w:t>total</w:t>
          </w:r>
          <w:proofErr w:type="spellEnd"/>
          <w:r w:rsidR="00B803FC">
            <w:t xml:space="preserve">, massen af </w:t>
          </w:r>
          <w:r w:rsidR="00760EE8">
            <w:t>raps</w:t>
          </w:r>
          <w:r w:rsidR="00B803FC">
            <w:t xml:space="preserve">olien alene skrives </w:t>
          </w:r>
          <w:proofErr w:type="spellStart"/>
          <w:r w:rsidR="00B803FC">
            <w:t>m</w:t>
          </w:r>
          <w:r w:rsidR="00B803FC">
            <w:rPr>
              <w:vertAlign w:val="subscript"/>
            </w:rPr>
            <w:t>olie</w:t>
          </w:r>
          <w:proofErr w:type="spellEnd"/>
          <w:r w:rsidR="00B803FC">
            <w:t xml:space="preserve"> mens massen af glasset skrives som </w:t>
          </w:r>
          <w:proofErr w:type="spellStart"/>
          <w:r w:rsidR="00B803FC">
            <w:t>m</w:t>
          </w:r>
          <w:r w:rsidR="00B803FC">
            <w:rPr>
              <w:vertAlign w:val="subscript"/>
            </w:rPr>
            <w:t>glas</w:t>
          </w:r>
          <w:proofErr w:type="spellEnd"/>
          <w:r w:rsidR="00B803FC">
            <w:t xml:space="preserve">. Da vi kun arbejder med én volumen, nemlig den af </w:t>
          </w:r>
          <w:r w:rsidR="00760EE8">
            <w:t>raps</w:t>
          </w:r>
          <w:r w:rsidR="00B803FC">
            <w:t>olien, skrives den bare V.</w:t>
          </w:r>
        </w:p>
        <w:p w14:paraId="12819672" w14:textId="77777777" w:rsidR="00846729" w:rsidRDefault="00846729" w:rsidP="00517764"/>
        <w:p w14:paraId="66E04A4E" w14:textId="77777777" w:rsidR="00846729" w:rsidRDefault="00846729" w:rsidP="00517764"/>
        <w:p w14:paraId="458F8E91" w14:textId="77777777" w:rsidR="00846729" w:rsidRDefault="00846729" w:rsidP="00517764"/>
        <w:p w14:paraId="2F5D30A9" w14:textId="77777777" w:rsidR="00846729" w:rsidRDefault="00846729" w:rsidP="00517764"/>
        <w:p w14:paraId="25209106" w14:textId="77777777" w:rsidR="00846729" w:rsidRPr="00B803FC" w:rsidRDefault="00846729" w:rsidP="00517764">
          <w:pPr>
            <w:rPr>
              <w:vertAlign w:val="subscript"/>
            </w:rPr>
          </w:pPr>
        </w:p>
        <w:tbl>
          <w:tblPr>
            <w:tblStyle w:val="TableGrid"/>
            <w:tblW w:w="0" w:type="auto"/>
            <w:jc w:val="center"/>
            <w:tblLook w:val="04A0" w:firstRow="1" w:lastRow="0" w:firstColumn="1" w:lastColumn="0" w:noHBand="0" w:noVBand="1"/>
          </w:tblPr>
          <w:tblGrid>
            <w:gridCol w:w="2477"/>
            <w:gridCol w:w="2419"/>
          </w:tblGrid>
          <w:tr w:rsidR="00517764" w14:paraId="649BF44A" w14:textId="77777777" w:rsidTr="008C38D7">
            <w:trPr>
              <w:jc w:val="center"/>
            </w:trPr>
            <w:tc>
              <w:tcPr>
                <w:tcW w:w="2477" w:type="dxa"/>
              </w:tcPr>
              <w:p w14:paraId="06BF2F0F" w14:textId="77777777" w:rsidR="00517764" w:rsidRDefault="00517764" w:rsidP="00517764">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total</m:t>
                            </m:r>
                          </m:sub>
                        </m:sSub>
                      </m:num>
                      <m:den>
                        <m:r>
                          <w:rPr>
                            <w:rFonts w:ascii="Cambria Math" w:eastAsiaTheme="minorEastAsia" w:hAnsi="Cambria Math"/>
                          </w:rPr>
                          <m:t>g</m:t>
                        </m:r>
                      </m:den>
                    </m:f>
                  </m:oMath>
                </m:oMathPara>
              </w:p>
            </w:tc>
            <w:tc>
              <w:tcPr>
                <w:tcW w:w="2419" w:type="dxa"/>
              </w:tcPr>
              <w:p w14:paraId="2B675A9D" w14:textId="77777777" w:rsidR="00517764" w:rsidRDefault="00517764" w:rsidP="00517764">
                <m:oMathPara>
                  <m:oMath>
                    <m:f>
                      <m:fPr>
                        <m:ctrlPr>
                          <w:rPr>
                            <w:rFonts w:ascii="Cambria Math" w:hAnsi="Cambria Math"/>
                            <w:i/>
                          </w:rPr>
                        </m:ctrlPr>
                      </m:fPr>
                      <m:num>
                        <m:r>
                          <w:rPr>
                            <w:rFonts w:ascii="Cambria Math" w:hAnsi="Cambria Math"/>
                          </w:rPr>
                          <m:t>V</m:t>
                        </m:r>
                      </m:num>
                      <m:den>
                        <m:r>
                          <w:rPr>
                            <w:rFonts w:ascii="Cambria Math" w:hAnsi="Cambria Math"/>
                          </w:rPr>
                          <m:t>mL</m:t>
                        </m:r>
                      </m:den>
                    </m:f>
                  </m:oMath>
                </m:oMathPara>
              </w:p>
            </w:tc>
          </w:tr>
          <w:tr w:rsidR="00517764" w14:paraId="3D2CD779" w14:textId="77777777" w:rsidTr="008C38D7">
            <w:trPr>
              <w:trHeight w:val="302"/>
              <w:jc w:val="center"/>
            </w:trPr>
            <w:tc>
              <w:tcPr>
                <w:tcW w:w="2477" w:type="dxa"/>
              </w:tcPr>
              <w:p w14:paraId="4DF794DF" w14:textId="77777777" w:rsidR="00517764" w:rsidRDefault="00517764" w:rsidP="00517764">
                <m:oMathPara>
                  <m:oMath>
                    <m:r>
                      <w:rPr>
                        <w:rFonts w:ascii="Cambria Math" w:hAnsi="Cambria Math"/>
                      </w:rPr>
                      <m:t>42,4</m:t>
                    </m:r>
                  </m:oMath>
                </m:oMathPara>
              </w:p>
            </w:tc>
            <w:tc>
              <w:tcPr>
                <w:tcW w:w="2419" w:type="dxa"/>
              </w:tcPr>
              <w:p w14:paraId="4598BAE9" w14:textId="77777777" w:rsidR="00517764" w:rsidRDefault="00517764" w:rsidP="00517764">
                <m:oMathPara>
                  <m:oMath>
                    <m:r>
                      <w:rPr>
                        <w:rFonts w:ascii="Cambria Math" w:hAnsi="Cambria Math"/>
                      </w:rPr>
                      <m:t>0</m:t>
                    </m:r>
                  </m:oMath>
                </m:oMathPara>
              </w:p>
            </w:tc>
          </w:tr>
          <w:tr w:rsidR="00517764" w14:paraId="1600CDDA" w14:textId="77777777" w:rsidTr="008C38D7">
            <w:trPr>
              <w:jc w:val="center"/>
            </w:trPr>
            <w:tc>
              <w:tcPr>
                <w:tcW w:w="2477" w:type="dxa"/>
              </w:tcPr>
              <w:p w14:paraId="7C530615" w14:textId="77777777" w:rsidR="00517764" w:rsidRDefault="00517764" w:rsidP="00517764">
                <m:oMathPara>
                  <m:oMath>
                    <m:r>
                      <w:rPr>
                        <w:rFonts w:ascii="Cambria Math" w:hAnsi="Cambria Math"/>
                      </w:rPr>
                      <m:t>50,3</m:t>
                    </m:r>
                  </m:oMath>
                </m:oMathPara>
              </w:p>
            </w:tc>
            <w:tc>
              <w:tcPr>
                <w:tcW w:w="2419" w:type="dxa"/>
              </w:tcPr>
              <w:p w14:paraId="39C3D181" w14:textId="77777777" w:rsidR="00517764" w:rsidRDefault="00517764" w:rsidP="00517764">
                <m:oMathPara>
                  <m:oMath>
                    <m:r>
                      <w:rPr>
                        <w:rFonts w:ascii="Cambria Math" w:hAnsi="Cambria Math"/>
                      </w:rPr>
                      <m:t>10</m:t>
                    </m:r>
                  </m:oMath>
                </m:oMathPara>
              </w:p>
            </w:tc>
          </w:tr>
          <w:tr w:rsidR="00517764" w14:paraId="46962531" w14:textId="77777777" w:rsidTr="008C38D7">
            <w:trPr>
              <w:jc w:val="center"/>
            </w:trPr>
            <w:tc>
              <w:tcPr>
                <w:tcW w:w="2477" w:type="dxa"/>
              </w:tcPr>
              <w:p w14:paraId="37E5E7EE" w14:textId="77777777" w:rsidR="00517764" w:rsidRDefault="00517764" w:rsidP="00517764">
                <m:oMathPara>
                  <m:oMath>
                    <m:r>
                      <w:rPr>
                        <w:rFonts w:ascii="Cambria Math" w:hAnsi="Cambria Math"/>
                      </w:rPr>
                      <m:t>60,0</m:t>
                    </m:r>
                  </m:oMath>
                </m:oMathPara>
              </w:p>
            </w:tc>
            <w:tc>
              <w:tcPr>
                <w:tcW w:w="2419" w:type="dxa"/>
              </w:tcPr>
              <w:p w14:paraId="2888A132" w14:textId="77777777" w:rsidR="00517764" w:rsidRDefault="00517764" w:rsidP="00517764">
                <m:oMathPara>
                  <m:oMath>
                    <m:r>
                      <w:rPr>
                        <w:rFonts w:ascii="Cambria Math" w:hAnsi="Cambria Math"/>
                      </w:rPr>
                      <m:t>20,5</m:t>
                    </m:r>
                  </m:oMath>
                </m:oMathPara>
              </w:p>
            </w:tc>
          </w:tr>
          <w:tr w:rsidR="00517764" w14:paraId="281B16D3" w14:textId="77777777" w:rsidTr="008C38D7">
            <w:trPr>
              <w:jc w:val="center"/>
            </w:trPr>
            <w:tc>
              <w:tcPr>
                <w:tcW w:w="2477" w:type="dxa"/>
              </w:tcPr>
              <w:p w14:paraId="091DA5F1" w14:textId="77777777" w:rsidR="00517764" w:rsidRDefault="00517764" w:rsidP="00517764">
                <m:oMathPara>
                  <m:oMath>
                    <m:r>
                      <w:rPr>
                        <w:rFonts w:ascii="Cambria Math" w:hAnsi="Cambria Math"/>
                      </w:rPr>
                      <m:t>69,2</m:t>
                    </m:r>
                  </m:oMath>
                </m:oMathPara>
              </w:p>
            </w:tc>
            <w:tc>
              <w:tcPr>
                <w:tcW w:w="2419" w:type="dxa"/>
              </w:tcPr>
              <w:p w14:paraId="5FA286D4" w14:textId="77777777" w:rsidR="00517764" w:rsidRDefault="00517764" w:rsidP="00517764">
                <m:oMathPara>
                  <m:oMath>
                    <m:r>
                      <w:rPr>
                        <w:rFonts w:ascii="Cambria Math" w:hAnsi="Cambria Math"/>
                      </w:rPr>
                      <m:t>31</m:t>
                    </m:r>
                  </m:oMath>
                </m:oMathPara>
              </w:p>
            </w:tc>
          </w:tr>
          <w:tr w:rsidR="00517764" w14:paraId="669EFAE9" w14:textId="77777777" w:rsidTr="008C38D7">
            <w:trPr>
              <w:jc w:val="center"/>
            </w:trPr>
            <w:tc>
              <w:tcPr>
                <w:tcW w:w="2477" w:type="dxa"/>
              </w:tcPr>
              <w:p w14:paraId="324776CB" w14:textId="77777777" w:rsidR="00517764" w:rsidRDefault="00517764" w:rsidP="00517764">
                <m:oMathPara>
                  <m:oMath>
                    <m:r>
                      <w:rPr>
                        <w:rFonts w:ascii="Cambria Math" w:hAnsi="Cambria Math"/>
                      </w:rPr>
                      <m:t>78,3</m:t>
                    </m:r>
                  </m:oMath>
                </m:oMathPara>
              </w:p>
            </w:tc>
            <w:tc>
              <w:tcPr>
                <w:tcW w:w="2419" w:type="dxa"/>
              </w:tcPr>
              <w:p w14:paraId="2987435E" w14:textId="77777777" w:rsidR="00517764" w:rsidRDefault="00517764" w:rsidP="00517764">
                <m:oMathPara>
                  <m:oMath>
                    <m:r>
                      <w:rPr>
                        <w:rFonts w:ascii="Cambria Math" w:hAnsi="Cambria Math"/>
                      </w:rPr>
                      <m:t>40,5</m:t>
                    </m:r>
                  </m:oMath>
                </m:oMathPara>
              </w:p>
            </w:tc>
          </w:tr>
          <w:tr w:rsidR="00517764" w14:paraId="1458C60A" w14:textId="77777777" w:rsidTr="008C38D7">
            <w:trPr>
              <w:jc w:val="center"/>
            </w:trPr>
            <w:tc>
              <w:tcPr>
                <w:tcW w:w="2477" w:type="dxa"/>
              </w:tcPr>
              <w:p w14:paraId="7C0CA52B" w14:textId="77777777" w:rsidR="00517764" w:rsidRDefault="00517764" w:rsidP="00517764">
                <m:oMathPara>
                  <m:oMath>
                    <m:r>
                      <w:rPr>
                        <w:rFonts w:ascii="Cambria Math" w:hAnsi="Cambria Math"/>
                      </w:rPr>
                      <m:t>86,9</m:t>
                    </m:r>
                  </m:oMath>
                </m:oMathPara>
              </w:p>
            </w:tc>
            <w:tc>
              <w:tcPr>
                <w:tcW w:w="2419" w:type="dxa"/>
              </w:tcPr>
              <w:p w14:paraId="273D52F4" w14:textId="77777777" w:rsidR="00517764" w:rsidRDefault="00517764" w:rsidP="00517764">
                <m:oMathPara>
                  <m:oMath>
                    <m:r>
                      <w:rPr>
                        <w:rFonts w:ascii="Cambria Math" w:hAnsi="Cambria Math"/>
                      </w:rPr>
                      <m:t>50</m:t>
                    </m:r>
                  </m:oMath>
                </m:oMathPara>
              </w:p>
            </w:tc>
          </w:tr>
          <w:tr w:rsidR="00517764" w14:paraId="3AFA2DC5" w14:textId="77777777" w:rsidTr="008C38D7">
            <w:trPr>
              <w:jc w:val="center"/>
            </w:trPr>
            <w:tc>
              <w:tcPr>
                <w:tcW w:w="2477" w:type="dxa"/>
              </w:tcPr>
              <w:p w14:paraId="2CB22FF2" w14:textId="77777777" w:rsidR="00517764" w:rsidRDefault="00517764" w:rsidP="00517764">
                <m:oMathPara>
                  <m:oMath>
                    <m:r>
                      <w:rPr>
                        <w:rFonts w:ascii="Cambria Math" w:hAnsi="Cambria Math"/>
                      </w:rPr>
                      <m:t>95,9</m:t>
                    </m:r>
                  </m:oMath>
                </m:oMathPara>
              </w:p>
            </w:tc>
            <w:tc>
              <w:tcPr>
                <w:tcW w:w="2419" w:type="dxa"/>
              </w:tcPr>
              <w:p w14:paraId="7A7C1E35" w14:textId="77777777" w:rsidR="00517764" w:rsidRDefault="00517764" w:rsidP="00517764">
                <m:oMathPara>
                  <m:oMath>
                    <m:r>
                      <w:rPr>
                        <w:rFonts w:ascii="Cambria Math" w:hAnsi="Cambria Math"/>
                      </w:rPr>
                      <m:t>60</m:t>
                    </m:r>
                  </m:oMath>
                </m:oMathPara>
              </w:p>
            </w:tc>
          </w:tr>
          <w:tr w:rsidR="00517764" w14:paraId="0EC1CB4C" w14:textId="77777777" w:rsidTr="008C38D7">
            <w:trPr>
              <w:jc w:val="center"/>
            </w:trPr>
            <w:tc>
              <w:tcPr>
                <w:tcW w:w="2477" w:type="dxa"/>
              </w:tcPr>
              <w:p w14:paraId="2ABAAB25" w14:textId="77777777" w:rsidR="00517764" w:rsidRDefault="00517764" w:rsidP="00517764">
                <m:oMathPara>
                  <m:oMath>
                    <m:r>
                      <w:rPr>
                        <w:rFonts w:ascii="Cambria Math" w:hAnsi="Cambria Math"/>
                      </w:rPr>
                      <m:t>105,2</m:t>
                    </m:r>
                  </m:oMath>
                </m:oMathPara>
              </w:p>
            </w:tc>
            <w:tc>
              <w:tcPr>
                <w:tcW w:w="2419" w:type="dxa"/>
              </w:tcPr>
              <w:p w14:paraId="1B7CE7E3" w14:textId="77777777" w:rsidR="00517764" w:rsidRDefault="00517764" w:rsidP="00517764">
                <m:oMathPara>
                  <m:oMath>
                    <m:r>
                      <w:rPr>
                        <w:rFonts w:ascii="Cambria Math" w:hAnsi="Cambria Math"/>
                      </w:rPr>
                      <m:t>70</m:t>
                    </m:r>
                  </m:oMath>
                </m:oMathPara>
              </w:p>
            </w:tc>
          </w:tr>
          <w:tr w:rsidR="00517764" w14:paraId="0047BF77" w14:textId="77777777" w:rsidTr="008C38D7">
            <w:trPr>
              <w:jc w:val="center"/>
            </w:trPr>
            <w:tc>
              <w:tcPr>
                <w:tcW w:w="2477" w:type="dxa"/>
              </w:tcPr>
              <w:p w14:paraId="3BA0CAD9" w14:textId="77777777" w:rsidR="00517764" w:rsidRDefault="00517764" w:rsidP="00517764">
                <m:oMathPara>
                  <m:oMath>
                    <m:r>
                      <w:rPr>
                        <w:rFonts w:ascii="Cambria Math" w:hAnsi="Cambria Math"/>
                      </w:rPr>
                      <m:t>114,2</m:t>
                    </m:r>
                  </m:oMath>
                </m:oMathPara>
              </w:p>
            </w:tc>
            <w:tc>
              <w:tcPr>
                <w:tcW w:w="2419" w:type="dxa"/>
              </w:tcPr>
              <w:p w14:paraId="7052D68C" w14:textId="77777777" w:rsidR="00517764" w:rsidRDefault="00517764" w:rsidP="00517764">
                <m:oMathPara>
                  <m:oMath>
                    <m:r>
                      <w:rPr>
                        <w:rFonts w:ascii="Cambria Math" w:hAnsi="Cambria Math"/>
                      </w:rPr>
                      <m:t>80</m:t>
                    </m:r>
                  </m:oMath>
                </m:oMathPara>
              </w:p>
            </w:tc>
          </w:tr>
        </w:tbl>
        <w:p w14:paraId="12B8C006" w14:textId="77777777" w:rsidR="00B803FC" w:rsidRDefault="00B803FC" w:rsidP="00B803FC"/>
        <w:p w14:paraId="0F8D6CDE" w14:textId="669FB32D" w:rsidR="00B803FC" w:rsidRDefault="00B803FC" w:rsidP="00B803FC">
          <w:r>
            <w:t xml:space="preserve">Ud fra de resultater kan vi beregne hvor meget af bassen der rent faktisk er </w:t>
          </w:r>
          <w:r w:rsidR="00760EE8">
            <w:t>rapsolie</w:t>
          </w:r>
          <w:r w:rsidR="00760EE8">
            <w:t xml:space="preserve"> </w:t>
          </w:r>
          <w:r>
            <w:t>ved at gøre følgende:</w:t>
          </w:r>
        </w:p>
        <w:p w14:paraId="54AB5B01" w14:textId="68206DFE" w:rsidR="00B803FC" w:rsidRPr="00707D38" w:rsidRDefault="00B803FC" w:rsidP="00B803FC">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eastAsiaTheme="minorEastAsia" w:hAnsi="Cambria Math"/>
                    </w:rPr>
                    <m:t>total</m:t>
                  </m:r>
                </m:sub>
              </m:sSub>
              <m:r>
                <w:rPr>
                  <w:rFonts w:ascii="Cambria Math" w:hAnsi="Cambria Math"/>
                </w:rPr>
                <m:t>-</m:t>
              </m:r>
              <m:sSub>
                <m:sSubPr>
                  <m:ctrlPr>
                    <w:rPr>
                      <w:rFonts w:ascii="Cambria Math" w:eastAsiaTheme="minorEastAsia" w:hAnsi="Cambria Math"/>
                      <w:i/>
                    </w:rPr>
                  </m:ctrlPr>
                </m:sSubPr>
                <m:e>
                  <m:r>
                    <w:rPr>
                      <w:rFonts w:ascii="Cambria Math" w:hAnsi="Cambria Math"/>
                    </w:rPr>
                    <m:t>m</m:t>
                  </m:r>
                  <m:ctrlPr>
                    <w:rPr>
                      <w:rFonts w:ascii="Cambria Math" w:hAnsi="Cambria Math"/>
                      <w:i/>
                    </w:rPr>
                  </m:ctrlPr>
                </m:e>
                <m:sub>
                  <m:r>
                    <w:rPr>
                      <w:rFonts w:ascii="Cambria Math" w:eastAsiaTheme="minorEastAsia" w:hAnsi="Cambria Math"/>
                    </w:rPr>
                    <m:t>glas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olie</m:t>
                  </m:r>
                </m:sub>
              </m:sSub>
            </m:oMath>
          </m:oMathPara>
        </w:p>
        <w:p w14:paraId="4D9C5D9C" w14:textId="3DD9CAC1" w:rsidR="00707D38" w:rsidRDefault="00707D38" w:rsidP="00B803FC">
          <w:pPr>
            <w:rPr>
              <w:rFonts w:eastAsiaTheme="minorEastAsia"/>
            </w:rPr>
          </w:pPr>
          <w:r>
            <w:rPr>
              <w:rFonts w:eastAsiaTheme="minorEastAsia"/>
            </w:rPr>
            <w:t>Når vi har vægten af olien kan vi beregne dens densitet ud fra densitetsformlen beskrevet under ’Teori’. Beregner vi densiteten på alle 8 målinger får vi nedenstående tabel:</w:t>
          </w:r>
        </w:p>
        <w:p w14:paraId="61C2139A" w14:textId="77777777" w:rsidR="00846729" w:rsidRDefault="00846729" w:rsidP="00B803FC">
          <w:pPr>
            <w:rPr>
              <w:rFonts w:eastAsiaTheme="minorEastAsia"/>
            </w:rPr>
          </w:pPr>
        </w:p>
        <w:tbl>
          <w:tblPr>
            <w:tblStyle w:val="TableGrid"/>
            <w:tblW w:w="0" w:type="auto"/>
            <w:jc w:val="center"/>
            <w:tblLook w:val="04A0" w:firstRow="1" w:lastRow="0" w:firstColumn="1" w:lastColumn="0" w:noHBand="0" w:noVBand="1"/>
          </w:tblPr>
          <w:tblGrid>
            <w:gridCol w:w="2444"/>
            <w:gridCol w:w="2419"/>
            <w:gridCol w:w="2282"/>
          </w:tblGrid>
          <w:tr w:rsidR="00707D38" w14:paraId="414AD446" w14:textId="77777777" w:rsidTr="00707D38">
            <w:trPr>
              <w:jc w:val="center"/>
            </w:trPr>
            <w:tc>
              <w:tcPr>
                <w:tcW w:w="2444" w:type="dxa"/>
              </w:tcPr>
              <w:p w14:paraId="6031FF86" w14:textId="77777777" w:rsidR="00707D38" w:rsidRPr="000813BF" w:rsidRDefault="00707D38" w:rsidP="007440FE">
                <w:pP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olie</m:t>
                            </m:r>
                          </m:sub>
                        </m:sSub>
                      </m:num>
                      <m:den>
                        <m:r>
                          <w:rPr>
                            <w:rFonts w:ascii="Cambria Math" w:eastAsiaTheme="minorEastAsia" w:hAnsi="Cambria Math"/>
                          </w:rPr>
                          <m:t>g</m:t>
                        </m:r>
                      </m:den>
                    </m:f>
                  </m:oMath>
                </m:oMathPara>
              </w:p>
            </w:tc>
            <w:tc>
              <w:tcPr>
                <w:tcW w:w="2419" w:type="dxa"/>
              </w:tcPr>
              <w:p w14:paraId="79249FFA" w14:textId="77777777" w:rsidR="00707D38" w:rsidRDefault="00707D38" w:rsidP="007440FE">
                <m:oMathPara>
                  <m:oMath>
                    <m:f>
                      <m:fPr>
                        <m:ctrlPr>
                          <w:rPr>
                            <w:rFonts w:ascii="Cambria Math" w:hAnsi="Cambria Math"/>
                            <w:i/>
                          </w:rPr>
                        </m:ctrlPr>
                      </m:fPr>
                      <m:num>
                        <m:r>
                          <w:rPr>
                            <w:rFonts w:ascii="Cambria Math" w:hAnsi="Cambria Math"/>
                          </w:rPr>
                          <m:t>V</m:t>
                        </m:r>
                      </m:num>
                      <m:den>
                        <m:r>
                          <w:rPr>
                            <w:rFonts w:ascii="Cambria Math" w:hAnsi="Cambria Math"/>
                          </w:rPr>
                          <m:t>mL</m:t>
                        </m:r>
                      </m:den>
                    </m:f>
                  </m:oMath>
                </m:oMathPara>
              </w:p>
            </w:tc>
            <w:tc>
              <w:tcPr>
                <w:tcW w:w="2282" w:type="dxa"/>
              </w:tcPr>
              <w:p w14:paraId="0D1A3408" w14:textId="77777777" w:rsidR="00707D38" w:rsidRDefault="00707D38" w:rsidP="007440FE">
                <w:pP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ρ</m:t>
                        </m:r>
                      </m:num>
                      <m:den>
                        <m:f>
                          <m:fPr>
                            <m:ctrlPr>
                              <w:rPr>
                                <w:rFonts w:ascii="Cambria Math" w:eastAsia="Calibri" w:hAnsi="Cambria Math" w:cs="Times New Roman"/>
                                <w:i/>
                              </w:rPr>
                            </m:ctrlPr>
                          </m:fPr>
                          <m:num>
                            <m:r>
                              <w:rPr>
                                <w:rFonts w:ascii="Cambria Math" w:eastAsia="Calibri" w:hAnsi="Cambria Math" w:cs="Times New Roman"/>
                              </w:rPr>
                              <m:t>g</m:t>
                            </m:r>
                          </m:num>
                          <m:den>
                            <m:r>
                              <w:rPr>
                                <w:rFonts w:ascii="Cambria Math" w:eastAsia="Calibri" w:hAnsi="Cambria Math" w:cs="Times New Roman"/>
                              </w:rPr>
                              <m:t>mL</m:t>
                            </m:r>
                          </m:den>
                        </m:f>
                      </m:den>
                    </m:f>
                  </m:oMath>
                </m:oMathPara>
              </w:p>
            </w:tc>
          </w:tr>
          <w:tr w:rsidR="00707D38" w14:paraId="2B3B3C05" w14:textId="77777777" w:rsidTr="00707D38">
            <w:trPr>
              <w:jc w:val="center"/>
            </w:trPr>
            <w:tc>
              <w:tcPr>
                <w:tcW w:w="2444" w:type="dxa"/>
              </w:tcPr>
              <w:p w14:paraId="6FD63345" w14:textId="77777777" w:rsidR="00707D38" w:rsidRDefault="00707D38" w:rsidP="007440FE">
                <m:oMathPara>
                  <m:oMath>
                    <m:r>
                      <w:rPr>
                        <w:rFonts w:ascii="Cambria Math" w:hAnsi="Cambria Math"/>
                      </w:rPr>
                      <m:t>7,9</m:t>
                    </m:r>
                  </m:oMath>
                </m:oMathPara>
              </w:p>
            </w:tc>
            <w:tc>
              <w:tcPr>
                <w:tcW w:w="2419" w:type="dxa"/>
              </w:tcPr>
              <w:p w14:paraId="0779D069" w14:textId="77777777" w:rsidR="00707D38" w:rsidRDefault="00707D38" w:rsidP="007440FE">
                <m:oMathPara>
                  <m:oMath>
                    <m:r>
                      <w:rPr>
                        <w:rFonts w:ascii="Cambria Math" w:hAnsi="Cambria Math"/>
                      </w:rPr>
                      <m:t>10</m:t>
                    </m:r>
                  </m:oMath>
                </m:oMathPara>
              </w:p>
            </w:tc>
            <w:tc>
              <w:tcPr>
                <w:tcW w:w="2282" w:type="dxa"/>
              </w:tcPr>
              <w:p w14:paraId="673D06D0" w14:textId="77777777" w:rsidR="00707D38" w:rsidRDefault="00707D38" w:rsidP="007440FE">
                <w:pPr>
                  <w:rPr>
                    <w:rFonts w:ascii="Calibri" w:eastAsia="Calibri" w:hAnsi="Calibri" w:cs="Times New Roman"/>
                  </w:rPr>
                </w:pPr>
                <m:oMathPara>
                  <m:oMath>
                    <m:r>
                      <w:rPr>
                        <w:rFonts w:ascii="Cambria Math" w:eastAsia="Calibri" w:hAnsi="Cambria Math" w:cs="Times New Roman"/>
                      </w:rPr>
                      <m:t>0,790</m:t>
                    </m:r>
                  </m:oMath>
                </m:oMathPara>
              </w:p>
            </w:tc>
          </w:tr>
          <w:tr w:rsidR="00707D38" w:rsidRPr="00C17509" w14:paraId="7FF87638" w14:textId="77777777" w:rsidTr="00707D38">
            <w:trPr>
              <w:jc w:val="center"/>
            </w:trPr>
            <w:tc>
              <w:tcPr>
                <w:tcW w:w="2444" w:type="dxa"/>
              </w:tcPr>
              <w:p w14:paraId="1A7A5938" w14:textId="77777777" w:rsidR="00707D38" w:rsidRDefault="00707D38" w:rsidP="007440FE">
                <m:oMathPara>
                  <m:oMath>
                    <m:r>
                      <w:rPr>
                        <w:rFonts w:ascii="Cambria Math" w:hAnsi="Cambria Math"/>
                      </w:rPr>
                      <m:t>17,6</m:t>
                    </m:r>
                  </m:oMath>
                </m:oMathPara>
              </w:p>
            </w:tc>
            <w:tc>
              <w:tcPr>
                <w:tcW w:w="2419" w:type="dxa"/>
              </w:tcPr>
              <w:p w14:paraId="62BD852B" w14:textId="77777777" w:rsidR="00707D38" w:rsidRDefault="00707D38" w:rsidP="007440FE">
                <m:oMathPara>
                  <m:oMath>
                    <m:r>
                      <w:rPr>
                        <w:rFonts w:ascii="Cambria Math" w:hAnsi="Cambria Math"/>
                      </w:rPr>
                      <m:t>20,5</m:t>
                    </m:r>
                  </m:oMath>
                </m:oMathPara>
              </w:p>
            </w:tc>
            <w:tc>
              <w:tcPr>
                <w:tcW w:w="2282" w:type="dxa"/>
              </w:tcPr>
              <w:p w14:paraId="1BAABBEF" w14:textId="77777777" w:rsidR="00707D38" w:rsidRPr="00C17509" w:rsidRDefault="00707D38" w:rsidP="007440FE">
                <w:pPr>
                  <w:rPr>
                    <w:rFonts w:eastAsiaTheme="minorEastAsia"/>
                  </w:rPr>
                </w:pPr>
                <m:oMathPara>
                  <m:oMath>
                    <m:r>
                      <w:rPr>
                        <w:rFonts w:ascii="Cambria Math" w:eastAsia="Calibri" w:hAnsi="Cambria Math" w:cs="Times New Roman"/>
                      </w:rPr>
                      <m:t>0,859</m:t>
                    </m:r>
                  </m:oMath>
                </m:oMathPara>
              </w:p>
            </w:tc>
          </w:tr>
          <w:tr w:rsidR="00707D38" w14:paraId="497884B7" w14:textId="77777777" w:rsidTr="00707D38">
            <w:trPr>
              <w:jc w:val="center"/>
            </w:trPr>
            <w:tc>
              <w:tcPr>
                <w:tcW w:w="2444" w:type="dxa"/>
              </w:tcPr>
              <w:p w14:paraId="79DC3D99" w14:textId="77777777" w:rsidR="00707D38" w:rsidRDefault="00707D38" w:rsidP="007440FE">
                <m:oMathPara>
                  <m:oMath>
                    <m:r>
                      <w:rPr>
                        <w:rFonts w:ascii="Cambria Math" w:hAnsi="Cambria Math"/>
                      </w:rPr>
                      <m:t>26,8</m:t>
                    </m:r>
                  </m:oMath>
                </m:oMathPara>
              </w:p>
            </w:tc>
            <w:tc>
              <w:tcPr>
                <w:tcW w:w="2419" w:type="dxa"/>
              </w:tcPr>
              <w:p w14:paraId="11340F25" w14:textId="77777777" w:rsidR="00707D38" w:rsidRDefault="00707D38" w:rsidP="007440FE">
                <m:oMathPara>
                  <m:oMath>
                    <m:r>
                      <w:rPr>
                        <w:rFonts w:ascii="Cambria Math" w:hAnsi="Cambria Math"/>
                      </w:rPr>
                      <m:t>31</m:t>
                    </m:r>
                  </m:oMath>
                </m:oMathPara>
              </w:p>
            </w:tc>
            <w:tc>
              <w:tcPr>
                <w:tcW w:w="2282" w:type="dxa"/>
              </w:tcPr>
              <w:p w14:paraId="1535BBF6"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0,865</m:t>
                    </m:r>
                  </m:oMath>
                </m:oMathPara>
              </w:p>
            </w:tc>
          </w:tr>
          <w:tr w:rsidR="00707D38" w14:paraId="6CFB4506" w14:textId="77777777" w:rsidTr="00707D38">
            <w:trPr>
              <w:jc w:val="center"/>
            </w:trPr>
            <w:tc>
              <w:tcPr>
                <w:tcW w:w="2444" w:type="dxa"/>
              </w:tcPr>
              <w:p w14:paraId="2F882ABC" w14:textId="77777777" w:rsidR="00707D38" w:rsidRDefault="00707D38" w:rsidP="007440FE">
                <m:oMathPara>
                  <m:oMath>
                    <m:r>
                      <w:rPr>
                        <w:rFonts w:ascii="Cambria Math" w:hAnsi="Cambria Math"/>
                      </w:rPr>
                      <m:t>35,9</m:t>
                    </m:r>
                  </m:oMath>
                </m:oMathPara>
              </w:p>
            </w:tc>
            <w:tc>
              <w:tcPr>
                <w:tcW w:w="2419" w:type="dxa"/>
              </w:tcPr>
              <w:p w14:paraId="15DC485D" w14:textId="77777777" w:rsidR="00707D38" w:rsidRDefault="00707D38" w:rsidP="007440FE">
                <m:oMathPara>
                  <m:oMath>
                    <m:r>
                      <w:rPr>
                        <w:rFonts w:ascii="Cambria Math" w:hAnsi="Cambria Math"/>
                      </w:rPr>
                      <m:t>40,5</m:t>
                    </m:r>
                  </m:oMath>
                </m:oMathPara>
              </w:p>
            </w:tc>
            <w:tc>
              <w:tcPr>
                <w:tcW w:w="2282" w:type="dxa"/>
              </w:tcPr>
              <w:p w14:paraId="3ED0D800"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0,886</m:t>
                    </m:r>
                  </m:oMath>
                </m:oMathPara>
              </w:p>
            </w:tc>
          </w:tr>
          <w:tr w:rsidR="00707D38" w14:paraId="06A90DE4" w14:textId="77777777" w:rsidTr="00707D38">
            <w:trPr>
              <w:jc w:val="center"/>
            </w:trPr>
            <w:tc>
              <w:tcPr>
                <w:tcW w:w="2444" w:type="dxa"/>
              </w:tcPr>
              <w:p w14:paraId="7E93ECE3" w14:textId="77777777" w:rsidR="00707D38" w:rsidRDefault="00707D38" w:rsidP="007440FE">
                <m:oMathPara>
                  <m:oMath>
                    <m:r>
                      <w:rPr>
                        <w:rFonts w:ascii="Cambria Math" w:hAnsi="Cambria Math"/>
                      </w:rPr>
                      <m:t>44,5</m:t>
                    </m:r>
                  </m:oMath>
                </m:oMathPara>
              </w:p>
            </w:tc>
            <w:tc>
              <w:tcPr>
                <w:tcW w:w="2419" w:type="dxa"/>
              </w:tcPr>
              <w:p w14:paraId="0BF3CE75" w14:textId="77777777" w:rsidR="00707D38" w:rsidRDefault="00707D38" w:rsidP="007440FE">
                <m:oMathPara>
                  <m:oMath>
                    <m:r>
                      <w:rPr>
                        <w:rFonts w:ascii="Cambria Math" w:hAnsi="Cambria Math"/>
                      </w:rPr>
                      <m:t>50</m:t>
                    </m:r>
                  </m:oMath>
                </m:oMathPara>
              </w:p>
            </w:tc>
            <w:tc>
              <w:tcPr>
                <w:tcW w:w="2282" w:type="dxa"/>
              </w:tcPr>
              <w:p w14:paraId="23441A13"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0,890</m:t>
                    </m:r>
                  </m:oMath>
                </m:oMathPara>
              </w:p>
            </w:tc>
          </w:tr>
          <w:tr w:rsidR="00707D38" w14:paraId="7F532845" w14:textId="77777777" w:rsidTr="00707D38">
            <w:trPr>
              <w:jc w:val="center"/>
            </w:trPr>
            <w:tc>
              <w:tcPr>
                <w:tcW w:w="2444" w:type="dxa"/>
              </w:tcPr>
              <w:p w14:paraId="1E86A624" w14:textId="77777777" w:rsidR="00707D38" w:rsidRDefault="00707D38" w:rsidP="007440FE">
                <m:oMathPara>
                  <m:oMath>
                    <m:r>
                      <w:rPr>
                        <w:rFonts w:ascii="Cambria Math" w:hAnsi="Cambria Math"/>
                      </w:rPr>
                      <m:t>53,5</m:t>
                    </m:r>
                  </m:oMath>
                </m:oMathPara>
              </w:p>
            </w:tc>
            <w:tc>
              <w:tcPr>
                <w:tcW w:w="2419" w:type="dxa"/>
              </w:tcPr>
              <w:p w14:paraId="2EA08367" w14:textId="77777777" w:rsidR="00707D38" w:rsidRDefault="00707D38" w:rsidP="007440FE">
                <m:oMathPara>
                  <m:oMath>
                    <m:r>
                      <w:rPr>
                        <w:rFonts w:ascii="Cambria Math" w:hAnsi="Cambria Math"/>
                      </w:rPr>
                      <m:t>60</m:t>
                    </m:r>
                  </m:oMath>
                </m:oMathPara>
              </w:p>
            </w:tc>
            <w:tc>
              <w:tcPr>
                <w:tcW w:w="2282" w:type="dxa"/>
              </w:tcPr>
              <w:p w14:paraId="5EDDD577"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0,892</m:t>
                    </m:r>
                  </m:oMath>
                </m:oMathPara>
              </w:p>
            </w:tc>
          </w:tr>
          <w:tr w:rsidR="00707D38" w14:paraId="0511D179" w14:textId="77777777" w:rsidTr="00707D38">
            <w:trPr>
              <w:jc w:val="center"/>
            </w:trPr>
            <w:tc>
              <w:tcPr>
                <w:tcW w:w="2444" w:type="dxa"/>
              </w:tcPr>
              <w:p w14:paraId="343CCA71" w14:textId="77777777" w:rsidR="00707D38" w:rsidRDefault="00707D38" w:rsidP="007440FE">
                <m:oMathPara>
                  <m:oMath>
                    <m:r>
                      <w:rPr>
                        <w:rFonts w:ascii="Cambria Math" w:hAnsi="Cambria Math"/>
                      </w:rPr>
                      <m:t>62,8</m:t>
                    </m:r>
                  </m:oMath>
                </m:oMathPara>
              </w:p>
            </w:tc>
            <w:tc>
              <w:tcPr>
                <w:tcW w:w="2419" w:type="dxa"/>
              </w:tcPr>
              <w:p w14:paraId="1B2F0FC5" w14:textId="77777777" w:rsidR="00707D38" w:rsidRDefault="00707D38" w:rsidP="007440FE">
                <m:oMathPara>
                  <m:oMath>
                    <m:r>
                      <w:rPr>
                        <w:rFonts w:ascii="Cambria Math" w:hAnsi="Cambria Math"/>
                      </w:rPr>
                      <m:t>70</m:t>
                    </m:r>
                  </m:oMath>
                </m:oMathPara>
              </w:p>
            </w:tc>
            <w:tc>
              <w:tcPr>
                <w:tcW w:w="2282" w:type="dxa"/>
              </w:tcPr>
              <w:p w14:paraId="777CAD50"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0,897</m:t>
                    </m:r>
                  </m:oMath>
                </m:oMathPara>
              </w:p>
            </w:tc>
          </w:tr>
          <w:tr w:rsidR="00707D38" w14:paraId="16B010CE" w14:textId="77777777" w:rsidTr="00707D38">
            <w:trPr>
              <w:jc w:val="center"/>
            </w:trPr>
            <w:tc>
              <w:tcPr>
                <w:tcW w:w="2444" w:type="dxa"/>
              </w:tcPr>
              <w:p w14:paraId="179DC8BB" w14:textId="77777777" w:rsidR="00707D38" w:rsidRDefault="00707D38" w:rsidP="007440FE">
                <m:oMathPara>
                  <m:oMath>
                    <m:r>
                      <w:rPr>
                        <w:rFonts w:ascii="Cambria Math" w:hAnsi="Cambria Math"/>
                      </w:rPr>
                      <m:t>71,8</m:t>
                    </m:r>
                  </m:oMath>
                </m:oMathPara>
              </w:p>
            </w:tc>
            <w:tc>
              <w:tcPr>
                <w:tcW w:w="2419" w:type="dxa"/>
              </w:tcPr>
              <w:p w14:paraId="1B2A6323" w14:textId="77777777" w:rsidR="00707D38" w:rsidRDefault="00707D38" w:rsidP="007440FE">
                <m:oMathPara>
                  <m:oMath>
                    <m:r>
                      <w:rPr>
                        <w:rFonts w:ascii="Cambria Math" w:hAnsi="Cambria Math"/>
                      </w:rPr>
                      <m:t>80</m:t>
                    </m:r>
                  </m:oMath>
                </m:oMathPara>
              </w:p>
            </w:tc>
            <w:tc>
              <w:tcPr>
                <w:tcW w:w="2282" w:type="dxa"/>
              </w:tcPr>
              <w:p w14:paraId="4429E7D8" w14:textId="77777777" w:rsidR="00707D38" w:rsidRDefault="00707D38" w:rsidP="007440FE">
                <w:pPr>
                  <w:rPr>
                    <w:rFonts w:ascii="Calibri" w:eastAsia="Calibri" w:hAnsi="Calibri" w:cs="Times New Roman"/>
                  </w:rPr>
                </w:pPr>
                <m:oMathPara>
                  <m:oMath>
                    <m:r>
                      <w:rPr>
                        <w:rFonts w:ascii="Cambria Math" w:eastAsia="Calibri" w:hAnsi="Cambria Math" w:cs="Times New Roman"/>
                      </w:rPr>
                      <m:t>0,898</m:t>
                    </m:r>
                  </m:oMath>
                </m:oMathPara>
              </w:p>
            </w:tc>
          </w:tr>
        </w:tbl>
        <w:p w14:paraId="124BA96A" w14:textId="782832FA" w:rsidR="00B803FC" w:rsidRDefault="00B803FC" w:rsidP="00B803FC"/>
        <w:p w14:paraId="1FEF8D84" w14:textId="2FA7F28A" w:rsidR="00B803FC" w:rsidRDefault="00DC6C13" w:rsidP="00B803FC">
          <w:r>
            <w:t>Når densiteten for alle otte målinger nu er udregnet kan en gennemsnits densitet udregnes på følgende måde:</w:t>
          </w:r>
        </w:p>
        <w:p w14:paraId="6AE21EA0" w14:textId="77777777" w:rsidR="00760EE8" w:rsidRDefault="00760EE8" w:rsidP="00B803FC"/>
        <w:p w14:paraId="2A162C23" w14:textId="2E667AD1" w:rsidR="00DC6C13" w:rsidRPr="00DC6C13" w:rsidRDefault="00DC6C13" w:rsidP="00B803FC">
          <w:pPr>
            <w:rPr>
              <w:rFonts w:eastAsiaTheme="minorEastAsia"/>
            </w:rPr>
          </w:pPr>
          <m:oMathPara>
            <m:oMath>
              <m:f>
                <m:fPr>
                  <m:ctrlPr>
                    <w:rPr>
                      <w:rFonts w:ascii="Cambria Math" w:hAnsi="Cambria Math"/>
                      <w:i/>
                    </w:rPr>
                  </m:ctrlPr>
                </m:fPr>
                <m:num>
                  <m:f>
                    <m:fPr>
                      <m:ctrlPr>
                        <w:rPr>
                          <w:rFonts w:ascii="Cambria Math" w:hAnsi="Cambria Math"/>
                          <w:i/>
                        </w:rPr>
                      </m:ctrlPr>
                    </m:fPr>
                    <m:num>
                      <m:r>
                        <w:rPr>
                          <w:rFonts w:ascii="Cambria Math" w:hAnsi="Cambria Math"/>
                        </w:rPr>
                        <m:t>0,79</m:t>
                      </m:r>
                      <m:r>
                        <w:rPr>
                          <w:rFonts w:ascii="Cambria Math" w:hAnsi="Cambria Math"/>
                        </w:rPr>
                        <m:t>0</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0,859</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0,86</m:t>
                      </m:r>
                      <m:r>
                        <w:rPr>
                          <w:rFonts w:ascii="Cambria Math" w:hAnsi="Cambria Math"/>
                        </w:rPr>
                        <m:t>5</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0,886</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0,89</m:t>
                      </m:r>
                      <m:r>
                        <w:rPr>
                          <w:rFonts w:ascii="Cambria Math" w:hAnsi="Cambria Math"/>
                        </w:rPr>
                        <m:t>0</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0,89</m:t>
                      </m:r>
                      <m:r>
                        <w:rPr>
                          <w:rFonts w:ascii="Cambria Math" w:hAnsi="Cambria Math"/>
                        </w:rPr>
                        <m:t>2</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0,897</m:t>
                      </m:r>
                      <m:r>
                        <w:rPr>
                          <w:rFonts w:ascii="Cambria Math" w:hAnsi="Cambria Math"/>
                        </w:rPr>
                        <m:t>g</m:t>
                      </m:r>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898</m:t>
                      </m:r>
                      <m:r>
                        <w:rPr>
                          <w:rFonts w:ascii="Cambria Math" w:hAnsi="Cambria Math"/>
                        </w:rPr>
                        <m:t>g</m:t>
                      </m:r>
                    </m:num>
                    <m:den>
                      <m:r>
                        <w:rPr>
                          <w:rFonts w:ascii="Cambria Math" w:hAnsi="Cambria Math"/>
                        </w:rPr>
                        <m:t>mL</m:t>
                      </m:r>
                    </m:den>
                  </m:f>
                </m:num>
                <m:den>
                  <m:r>
                    <w:rPr>
                      <w:rFonts w:ascii="Cambria Math" w:hAnsi="Cambria Math"/>
                    </w:rPr>
                    <m:t>8</m:t>
                  </m:r>
                </m:den>
              </m:f>
              <m:r>
                <w:rPr>
                  <w:rFonts w:ascii="Cambria Math" w:hAnsi="Cambria Math"/>
                </w:rPr>
                <m:t>=0,872</m:t>
              </m:r>
              <m:f>
                <m:fPr>
                  <m:ctrlPr>
                    <w:rPr>
                      <w:rFonts w:ascii="Cambria Math" w:hAnsi="Cambria Math"/>
                      <w:i/>
                    </w:rPr>
                  </m:ctrlPr>
                </m:fPr>
                <m:num>
                  <m:r>
                    <w:rPr>
                      <w:rFonts w:ascii="Cambria Math" w:hAnsi="Cambria Math"/>
                    </w:rPr>
                    <m:t>g</m:t>
                  </m:r>
                </m:num>
                <m:den>
                  <m:r>
                    <w:rPr>
                      <w:rFonts w:ascii="Cambria Math" w:hAnsi="Cambria Math"/>
                    </w:rPr>
                    <m:t>mL</m:t>
                  </m:r>
                </m:den>
              </m:f>
            </m:oMath>
          </m:oMathPara>
        </w:p>
        <w:p w14:paraId="605D6CD0" w14:textId="77777777" w:rsidR="00760EE8" w:rsidRDefault="00760EE8" w:rsidP="00B803FC">
          <w:pPr>
            <w:rPr>
              <w:rFonts w:eastAsiaTheme="minorEastAsia"/>
            </w:rPr>
          </w:pPr>
        </w:p>
        <w:p w14:paraId="79CBF063" w14:textId="246553B5" w:rsidR="00DC6C13" w:rsidRDefault="00DC6C13" w:rsidP="00B803FC">
          <w:r>
            <w:rPr>
              <w:rFonts w:eastAsiaTheme="minorEastAsia"/>
            </w:rPr>
            <w:t xml:space="preserve">Den fra forsøget gennemsnitlige </w:t>
          </w:r>
          <w:r w:rsidR="008009CA">
            <w:rPr>
              <w:rFonts w:eastAsiaTheme="minorEastAsia"/>
            </w:rPr>
            <w:t>densitet på 0,872g/</w:t>
          </w:r>
          <w:proofErr w:type="spellStart"/>
          <w:r w:rsidR="008009CA">
            <w:rPr>
              <w:rFonts w:eastAsiaTheme="minorEastAsia"/>
            </w:rPr>
            <w:t>mL</w:t>
          </w:r>
          <w:proofErr w:type="spellEnd"/>
          <w:r w:rsidR="008009CA">
            <w:rPr>
              <w:rFonts w:eastAsiaTheme="minorEastAsia"/>
            </w:rPr>
            <w:t xml:space="preserve"> kan nu sammenholdes med </w:t>
          </w:r>
          <w:r w:rsidR="00E62412">
            <w:rPr>
              <w:rFonts w:eastAsiaTheme="minorEastAsia"/>
            </w:rPr>
            <w:t xml:space="preserve">tabelværdien for </w:t>
          </w:r>
          <w:r w:rsidR="00760EE8">
            <w:t>rapsolie</w:t>
          </w:r>
          <w:r w:rsidR="00760EE8">
            <w:t xml:space="preserve"> på 920g/</w:t>
          </w:r>
          <w:proofErr w:type="spellStart"/>
          <w:r w:rsidR="00760EE8">
            <w:t>mL.</w:t>
          </w:r>
          <w:proofErr w:type="spellEnd"/>
          <w:r w:rsidR="00760EE8">
            <w:t xml:space="preserve"> Den procentuelle afvigelse kan regnes ud på følgende måde:</w:t>
          </w:r>
        </w:p>
        <w:p w14:paraId="2CE7FCB4" w14:textId="77777777" w:rsidR="00760EE8" w:rsidRDefault="00760EE8" w:rsidP="00B803FC"/>
        <w:p w14:paraId="7B2456AE" w14:textId="2C2EC83E" w:rsidR="00760EE8" w:rsidRPr="00760EE8" w:rsidRDefault="00760EE8" w:rsidP="00B803FC">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gennemsnit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tabelværdi</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tabelværdi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0,872-0,920</m:t>
                  </m:r>
                </m:num>
                <m:den>
                  <m:r>
                    <w:rPr>
                      <w:rFonts w:ascii="Cambria Math" w:eastAsiaTheme="minorEastAsia" w:hAnsi="Cambria Math"/>
                    </w:rPr>
                    <m:t>0,920</m:t>
                  </m:r>
                </m:den>
              </m:f>
              <m:r>
                <w:rPr>
                  <w:rFonts w:ascii="Cambria Math" w:eastAsiaTheme="minorEastAsia" w:hAnsi="Cambria Math"/>
                </w:rPr>
                <m:t>=-0,052*100%=</m:t>
              </m:r>
              <m:r>
                <w:rPr>
                  <w:rFonts w:ascii="Cambria Math" w:eastAsiaTheme="minorEastAsia" w:hAnsi="Cambria Math"/>
                </w:rPr>
                <m:t>-</m:t>
              </m:r>
              <m:r>
                <w:rPr>
                  <w:rFonts w:ascii="Cambria Math" w:eastAsiaTheme="minorEastAsia" w:hAnsi="Cambria Math"/>
                </w:rPr>
                <m:t>5,2%</m:t>
              </m:r>
            </m:oMath>
          </m:oMathPara>
        </w:p>
        <w:p w14:paraId="0F794825" w14:textId="77777777" w:rsidR="00760EE8" w:rsidRDefault="00760EE8" w:rsidP="00B803FC">
          <w:pPr>
            <w:rPr>
              <w:rFonts w:eastAsiaTheme="minorEastAsia"/>
            </w:rPr>
          </w:pPr>
        </w:p>
        <w:p w14:paraId="33812045" w14:textId="6E699697" w:rsidR="00760EE8" w:rsidRDefault="00760EE8" w:rsidP="00B803FC">
          <w:pPr>
            <w:rPr>
              <w:rFonts w:eastAsiaTheme="minorEastAsia"/>
            </w:rPr>
          </w:pPr>
          <w:r>
            <w:rPr>
              <w:rFonts w:eastAsiaTheme="minorEastAsia"/>
            </w:rPr>
            <w:t xml:space="preserve">Dette resultat viser altså at målingerne i dette forsøg i snit ligger 5,2% under tabelværdien af rapsolie. </w:t>
          </w:r>
        </w:p>
        <w:p w14:paraId="5ED3F7D7" w14:textId="5C519883" w:rsidR="00760EE8" w:rsidRDefault="00760EE8">
          <w:pPr>
            <w:rPr>
              <w:rFonts w:eastAsiaTheme="minorEastAsia"/>
            </w:rPr>
          </w:pPr>
        </w:p>
        <w:p w14:paraId="19898DEE" w14:textId="204DDC7D" w:rsidR="00760EE8" w:rsidRDefault="001A643C" w:rsidP="00B803FC">
          <w:pPr>
            <w:rPr>
              <w:rFonts w:eastAsiaTheme="minorEastAsia"/>
            </w:rPr>
          </w:pPr>
          <w:r w:rsidRPr="008F7839">
            <w:rPr>
              <w:noProof/>
              <w:lang w:val="en-US"/>
            </w:rPr>
            <w:drawing>
              <wp:anchor distT="0" distB="0" distL="114300" distR="114300" simplePos="0" relativeHeight="251663360" behindDoc="0" locked="0" layoutInCell="1" allowOverlap="1" wp14:anchorId="6BE0F10E" wp14:editId="5AE333BB">
                <wp:simplePos x="0" y="0"/>
                <wp:positionH relativeFrom="column">
                  <wp:posOffset>3175635</wp:posOffset>
                </wp:positionH>
                <wp:positionV relativeFrom="paragraph">
                  <wp:posOffset>635000</wp:posOffset>
                </wp:positionV>
                <wp:extent cx="2811145" cy="2811145"/>
                <wp:effectExtent l="0" t="0" r="8255" b="8255"/>
                <wp:wrapTight wrapText="bothSides">
                  <wp:wrapPolygon edited="0">
                    <wp:start x="0" y="0"/>
                    <wp:lineTo x="0" y="21468"/>
                    <wp:lineTo x="21468" y="21468"/>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1145" cy="2811145"/>
                        </a:xfrm>
                        <a:prstGeom prst="rect">
                          <a:avLst/>
                        </a:prstGeom>
                      </pic:spPr>
                    </pic:pic>
                  </a:graphicData>
                </a:graphic>
                <wp14:sizeRelH relativeFrom="page">
                  <wp14:pctWidth>0</wp14:pctWidth>
                </wp14:sizeRelH>
                <wp14:sizeRelV relativeFrom="page">
                  <wp14:pctHeight>0</wp14:pctHeight>
                </wp14:sizeRelV>
              </wp:anchor>
            </w:drawing>
          </w:r>
          <w:r w:rsidR="00760EE8">
            <w:rPr>
              <w:rFonts w:eastAsiaTheme="minorEastAsia"/>
            </w:rPr>
            <w:t>Sidst er der tegnet to grafer der viser målingerne samt den lineære regression. På de to grafer kan det også ses at forklaringsgraden er utroligt tæt på 1, så generelt ligger målingerne meget tæt på hinanden.</w:t>
          </w:r>
        </w:p>
        <w:p w14:paraId="4D16A7DF" w14:textId="590E9A9A" w:rsidR="00760EE8" w:rsidRDefault="001A643C" w:rsidP="00B803FC">
          <w:pPr>
            <w:rPr>
              <w:rFonts w:eastAsiaTheme="minorEastAsia"/>
            </w:rPr>
          </w:pPr>
          <w:r w:rsidRPr="008F7839">
            <w:rPr>
              <w:noProof/>
              <w:lang w:val="en-US"/>
            </w:rPr>
            <w:drawing>
              <wp:anchor distT="0" distB="0" distL="114300" distR="114300" simplePos="0" relativeHeight="251662336" behindDoc="0" locked="0" layoutInCell="1" allowOverlap="1" wp14:anchorId="3F660CB7" wp14:editId="424138B0">
                <wp:simplePos x="0" y="0"/>
                <wp:positionH relativeFrom="column">
                  <wp:posOffset>56515</wp:posOffset>
                </wp:positionH>
                <wp:positionV relativeFrom="paragraph">
                  <wp:posOffset>75565</wp:posOffset>
                </wp:positionV>
                <wp:extent cx="2811780" cy="2811780"/>
                <wp:effectExtent l="0" t="0" r="7620" b="7620"/>
                <wp:wrapTight wrapText="bothSides">
                  <wp:wrapPolygon edited="0">
                    <wp:start x="0" y="0"/>
                    <wp:lineTo x="0" y="21463"/>
                    <wp:lineTo x="21463" y="21463"/>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1780" cy="2811780"/>
                        </a:xfrm>
                        <a:prstGeom prst="rect">
                          <a:avLst/>
                        </a:prstGeom>
                      </pic:spPr>
                    </pic:pic>
                  </a:graphicData>
                </a:graphic>
                <wp14:sizeRelH relativeFrom="page">
                  <wp14:pctWidth>0</wp14:pctWidth>
                </wp14:sizeRelH>
                <wp14:sizeRelV relativeFrom="page">
                  <wp14:pctHeight>0</wp14:pctHeight>
                </wp14:sizeRelV>
              </wp:anchor>
            </w:drawing>
          </w:r>
        </w:p>
        <w:p w14:paraId="19690013" w14:textId="28D50FBE" w:rsidR="0096256F" w:rsidRDefault="0096256F" w:rsidP="0096256F">
          <w:pPr>
            <w:pStyle w:val="Heading1"/>
          </w:pPr>
          <w:r>
            <w:t>Kommentar til resultater</w:t>
          </w:r>
        </w:p>
        <w:p w14:paraId="37BDAE1E" w14:textId="08E642EB" w:rsidR="0096256F" w:rsidRDefault="00D67F14" w:rsidP="0096256F">
          <w:r>
            <w:t xml:space="preserve">Ud over måling 1 ligger de alle sammen meget tæt. Samtidig stiger densiteten hele vejen gennem forsøget, så der må være blevet hældt mere og mere olie i pr gang i forhold til hvad der er aflæst. </w:t>
          </w:r>
        </w:p>
        <w:p w14:paraId="66A8FDC3" w14:textId="629D58CF" w:rsidR="00381ADA" w:rsidRPr="0096256F" w:rsidRDefault="0096256F" w:rsidP="0096256F">
          <w:pPr>
            <w:pStyle w:val="Heading1"/>
          </w:pPr>
          <w:bookmarkStart w:id="0" w:name="_GoBack"/>
          <w:bookmarkEnd w:id="0"/>
          <w:r>
            <w:t>Konklusion</w:t>
          </w:r>
        </w:p>
      </w:sdtContent>
    </w:sdt>
    <w:p w14:paraId="26C45BF2" w14:textId="4472466A" w:rsidR="00C17509" w:rsidRPr="00C220CF" w:rsidRDefault="00D67F14" w:rsidP="0050369F">
      <w:r>
        <w:t>Det er lykkedes at eftervise densiteten af olie med en afvigelse på -5,2%.</w:t>
      </w:r>
    </w:p>
    <w:sectPr w:rsidR="00C17509" w:rsidRPr="00C220CF" w:rsidSect="00381ADA">
      <w:headerReference w:type="default" r:id="rId10"/>
      <w:footerReference w:type="even" r:id="rId11"/>
      <w:footerReference w:type="default" r:id="rId12"/>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46F3A" w14:textId="77777777" w:rsidR="00C6799B" w:rsidRDefault="00C6799B" w:rsidP="0073439A">
      <w:r>
        <w:separator/>
      </w:r>
    </w:p>
  </w:endnote>
  <w:endnote w:type="continuationSeparator" w:id="0">
    <w:p w14:paraId="58C77115" w14:textId="77777777" w:rsidR="00C6799B" w:rsidRDefault="00C6799B" w:rsidP="0073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E3E6F" w14:textId="77777777" w:rsidR="000B4401" w:rsidRDefault="000B4401" w:rsidP="00245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A934E0" w14:textId="77777777" w:rsidR="000B4401" w:rsidRDefault="000B4401" w:rsidP="000B44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DF9F" w14:textId="77777777" w:rsidR="000B4401" w:rsidRDefault="000B4401" w:rsidP="00245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062D0A1" w14:textId="3FEBB61D" w:rsidR="0073439A" w:rsidRDefault="0073439A" w:rsidP="000B4401">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B9BCF" w14:textId="77777777" w:rsidR="00C6799B" w:rsidRDefault="00C6799B" w:rsidP="0073439A">
      <w:r>
        <w:separator/>
      </w:r>
    </w:p>
  </w:footnote>
  <w:footnote w:type="continuationSeparator" w:id="0">
    <w:p w14:paraId="26345219" w14:textId="77777777" w:rsidR="00C6799B" w:rsidRDefault="00C6799B" w:rsidP="007343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84C9D" w14:textId="579DFC1E" w:rsidR="0073439A" w:rsidRDefault="0073439A">
    <w:pPr>
      <w:pStyle w:val="Header"/>
    </w:pPr>
    <w:r>
      <w:t>Olies densitet</w:t>
    </w:r>
    <w:r>
      <w:ptab w:relativeTo="margin" w:alignment="center" w:leader="none"/>
    </w:r>
    <w:r>
      <w:t>Fysik B</w:t>
    </w:r>
    <w:r>
      <w:ptab w:relativeTo="margin" w:alignment="right" w:leader="none"/>
    </w:r>
    <w:r>
      <w:t>Forsøg 1</w:t>
    </w:r>
  </w:p>
  <w:p w14:paraId="67F90768" w14:textId="62DDF4D8" w:rsidR="0073439A" w:rsidRDefault="0073439A">
    <w:pPr>
      <w:pStyle w:val="Header"/>
    </w:pPr>
    <w:r>
      <w:t>8/2-2016</w:t>
    </w:r>
    <w:r>
      <w:tab/>
    </w:r>
    <w:r>
      <w:tab/>
      <w:t>Jonas Kobberø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928CF"/>
    <w:multiLevelType w:val="hybridMultilevel"/>
    <w:tmpl w:val="71FC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F6"/>
    <w:rsid w:val="0004495C"/>
    <w:rsid w:val="000813BF"/>
    <w:rsid w:val="000B4401"/>
    <w:rsid w:val="000E2125"/>
    <w:rsid w:val="00164B49"/>
    <w:rsid w:val="001756E4"/>
    <w:rsid w:val="001A643C"/>
    <w:rsid w:val="001E08AF"/>
    <w:rsid w:val="001F1D42"/>
    <w:rsid w:val="003007A7"/>
    <w:rsid w:val="00326F71"/>
    <w:rsid w:val="00381ADA"/>
    <w:rsid w:val="00392B75"/>
    <w:rsid w:val="003E7B5D"/>
    <w:rsid w:val="00485F92"/>
    <w:rsid w:val="004D2AB8"/>
    <w:rsid w:val="0050369F"/>
    <w:rsid w:val="00507268"/>
    <w:rsid w:val="00517764"/>
    <w:rsid w:val="00541D2E"/>
    <w:rsid w:val="005B3CE1"/>
    <w:rsid w:val="00620DA4"/>
    <w:rsid w:val="00701F37"/>
    <w:rsid w:val="00707D38"/>
    <w:rsid w:val="0073439A"/>
    <w:rsid w:val="00760EE8"/>
    <w:rsid w:val="007F21DE"/>
    <w:rsid w:val="008009CA"/>
    <w:rsid w:val="00846729"/>
    <w:rsid w:val="00860F80"/>
    <w:rsid w:val="008C38D7"/>
    <w:rsid w:val="008F7839"/>
    <w:rsid w:val="00945A54"/>
    <w:rsid w:val="0096256F"/>
    <w:rsid w:val="00B803FC"/>
    <w:rsid w:val="00C17509"/>
    <w:rsid w:val="00C220CF"/>
    <w:rsid w:val="00C6799B"/>
    <w:rsid w:val="00D44241"/>
    <w:rsid w:val="00D67F14"/>
    <w:rsid w:val="00DC0F75"/>
    <w:rsid w:val="00DC6C13"/>
    <w:rsid w:val="00DD7DF6"/>
    <w:rsid w:val="00E62412"/>
    <w:rsid w:val="00F2075C"/>
    <w:rsid w:val="00FD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83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a-DK"/>
    </w:rPr>
  </w:style>
  <w:style w:type="paragraph" w:styleId="Heading1">
    <w:name w:val="heading 1"/>
    <w:basedOn w:val="Normal"/>
    <w:next w:val="Normal"/>
    <w:link w:val="Heading1Char"/>
    <w:uiPriority w:val="9"/>
    <w:qFormat/>
    <w:rsid w:val="000813B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BF"/>
    <w:rPr>
      <w:rFonts w:asciiTheme="majorHAnsi" w:eastAsiaTheme="majorEastAsia" w:hAnsiTheme="majorHAnsi" w:cstheme="majorBidi"/>
      <w:color w:val="2E74B5" w:themeColor="accent1" w:themeShade="BF"/>
      <w:sz w:val="32"/>
      <w:szCs w:val="32"/>
      <w:lang w:val="da-DK"/>
    </w:rPr>
  </w:style>
  <w:style w:type="table" w:styleId="TableGrid">
    <w:name w:val="Table Grid"/>
    <w:basedOn w:val="TableNormal"/>
    <w:uiPriority w:val="39"/>
    <w:rsid w:val="000813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13BF"/>
    <w:rPr>
      <w:color w:val="808080"/>
    </w:rPr>
  </w:style>
  <w:style w:type="paragraph" w:styleId="NoSpacing">
    <w:name w:val="No Spacing"/>
    <w:link w:val="NoSpacingChar"/>
    <w:uiPriority w:val="1"/>
    <w:qFormat/>
    <w:rsid w:val="00381ADA"/>
    <w:rPr>
      <w:rFonts w:eastAsiaTheme="minorEastAsia"/>
      <w:sz w:val="22"/>
      <w:szCs w:val="22"/>
      <w:lang w:eastAsia="zh-CN"/>
    </w:rPr>
  </w:style>
  <w:style w:type="character" w:customStyle="1" w:styleId="NoSpacingChar">
    <w:name w:val="No Spacing Char"/>
    <w:basedOn w:val="DefaultParagraphFont"/>
    <w:link w:val="NoSpacing"/>
    <w:uiPriority w:val="1"/>
    <w:rsid w:val="00381ADA"/>
    <w:rPr>
      <w:rFonts w:eastAsiaTheme="minorEastAsia"/>
      <w:sz w:val="22"/>
      <w:szCs w:val="22"/>
      <w:lang w:eastAsia="zh-CN"/>
    </w:rPr>
  </w:style>
  <w:style w:type="paragraph" w:styleId="ListParagraph">
    <w:name w:val="List Paragraph"/>
    <w:basedOn w:val="Normal"/>
    <w:uiPriority w:val="34"/>
    <w:qFormat/>
    <w:rsid w:val="00945A54"/>
    <w:pPr>
      <w:ind w:left="720"/>
      <w:contextualSpacing/>
    </w:pPr>
  </w:style>
  <w:style w:type="paragraph" w:styleId="Header">
    <w:name w:val="header"/>
    <w:basedOn w:val="Normal"/>
    <w:link w:val="HeaderChar"/>
    <w:uiPriority w:val="99"/>
    <w:unhideWhenUsed/>
    <w:rsid w:val="0073439A"/>
    <w:pPr>
      <w:tabs>
        <w:tab w:val="center" w:pos="4819"/>
        <w:tab w:val="right" w:pos="9638"/>
      </w:tabs>
    </w:pPr>
  </w:style>
  <w:style w:type="character" w:customStyle="1" w:styleId="HeaderChar">
    <w:name w:val="Header Char"/>
    <w:basedOn w:val="DefaultParagraphFont"/>
    <w:link w:val="Header"/>
    <w:uiPriority w:val="99"/>
    <w:rsid w:val="0073439A"/>
    <w:rPr>
      <w:lang w:val="da-DK"/>
    </w:rPr>
  </w:style>
  <w:style w:type="paragraph" w:styleId="Footer">
    <w:name w:val="footer"/>
    <w:basedOn w:val="Normal"/>
    <w:link w:val="FooterChar"/>
    <w:uiPriority w:val="99"/>
    <w:unhideWhenUsed/>
    <w:rsid w:val="0073439A"/>
    <w:pPr>
      <w:tabs>
        <w:tab w:val="center" w:pos="4819"/>
        <w:tab w:val="right" w:pos="9638"/>
      </w:tabs>
    </w:pPr>
  </w:style>
  <w:style w:type="character" w:customStyle="1" w:styleId="FooterChar">
    <w:name w:val="Footer Char"/>
    <w:basedOn w:val="DefaultParagraphFont"/>
    <w:link w:val="Footer"/>
    <w:uiPriority w:val="99"/>
    <w:rsid w:val="0073439A"/>
    <w:rPr>
      <w:lang w:val="da-DK"/>
    </w:rPr>
  </w:style>
  <w:style w:type="character" w:styleId="PageNumber">
    <w:name w:val="page number"/>
    <w:basedOn w:val="DefaultParagraphFont"/>
    <w:uiPriority w:val="99"/>
    <w:semiHidden/>
    <w:unhideWhenUsed/>
    <w:rsid w:val="000B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D9"/>
    <w:rsid w:val="000355D9"/>
    <w:rsid w:val="0030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5D9"/>
    <w:rPr>
      <w:color w:val="808080"/>
    </w:rPr>
  </w:style>
  <w:style w:type="paragraph" w:customStyle="1" w:styleId="55C45B5F94D2EC46B59289842FED8E93">
    <w:name w:val="55C45B5F94D2EC46B59289842FED8E93"/>
    <w:rsid w:val="000355D9"/>
  </w:style>
  <w:style w:type="paragraph" w:customStyle="1" w:styleId="567EE71FCD374F42995259EA6DCC79F9">
    <w:name w:val="567EE71FCD374F42995259EA6DCC79F9"/>
    <w:rsid w:val="000355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D414C-23CA-2A43-9EEE-81F231E0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497</Words>
  <Characters>2836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Formål</vt:lpstr>
      <vt:lpstr>Teori</vt:lpstr>
      <vt:lpstr>Udstyr</vt:lpstr>
      <vt:lpstr>Fremgangsmåde</vt:lpstr>
      <vt:lpstr>Resultater</vt:lpstr>
      <vt:lpstr>Kommentar til resultater</vt:lpstr>
      <vt:lpstr>Konklusion</vt:lpstr>
    </vt:vector>
  </TitlesOfParts>
  <Company>Fysik B</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Olies densitet</dc:title>
  <dc:subject>Forsøg 1</dc:subject>
  <dc:creator>Jonas Kobberø</dc:creator>
  <cp:keywords/>
  <dc:description/>
  <cp:lastModifiedBy>Jonas Kobberø</cp:lastModifiedBy>
  <cp:revision>18</cp:revision>
  <cp:lastPrinted>2016-02-01T11:54:00Z</cp:lastPrinted>
  <dcterms:created xsi:type="dcterms:W3CDTF">2016-02-01T11:17:00Z</dcterms:created>
  <dcterms:modified xsi:type="dcterms:W3CDTF">2016-02-03T14:00:00Z</dcterms:modified>
</cp:coreProperties>
</file>